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99DC3" w14:textId="358A67E5" w:rsidR="00095D94" w:rsidRPr="009B2CB1" w:rsidRDefault="0001478A" w:rsidP="00222D2E">
      <w:pPr>
        <w:pStyle w:val="LSSCover1"/>
      </w:pPr>
      <w:r>
        <w:t>Consultation response</w:t>
      </w:r>
    </w:p>
    <w:p w14:paraId="54A71919" w14:textId="77777777" w:rsidR="0001478A" w:rsidRDefault="0001478A" w:rsidP="00607112">
      <w:pPr>
        <w:pStyle w:val="NoSpacing"/>
        <w:rPr>
          <w:bCs/>
          <w:color w:val="FFFFFF"/>
          <w:sz w:val="44"/>
          <w:szCs w:val="44"/>
          <w:lang w:val="en-GB"/>
        </w:rPr>
      </w:pPr>
    </w:p>
    <w:p w14:paraId="1A7B162D" w14:textId="37AB7C17" w:rsidR="00792AB3" w:rsidRDefault="00792AB3" w:rsidP="00607112">
      <w:pPr>
        <w:pStyle w:val="NoSpacing"/>
        <w:rPr>
          <w:sz w:val="44"/>
          <w:szCs w:val="44"/>
        </w:rPr>
      </w:pPr>
      <w:r w:rsidRPr="00792AB3">
        <w:rPr>
          <w:sz w:val="44"/>
          <w:szCs w:val="44"/>
        </w:rPr>
        <w:t>Draft revised guidance on the CMA's jurisdiction and procedure in relation to mergers</w:t>
      </w:r>
      <w:r>
        <w:rPr>
          <w:sz w:val="44"/>
          <w:szCs w:val="44"/>
        </w:rPr>
        <w:t xml:space="preserve"> </w:t>
      </w:r>
      <w:r w:rsidRPr="00792AB3">
        <w:rPr>
          <w:sz w:val="44"/>
          <w:szCs w:val="44"/>
        </w:rPr>
        <w:t>(CMA2 and CMA56)</w:t>
      </w:r>
    </w:p>
    <w:p w14:paraId="6E799DC6" w14:textId="7EE419E7" w:rsidR="0025503C" w:rsidRDefault="00792AB3" w:rsidP="00607112">
      <w:pPr>
        <w:pStyle w:val="NoSpacing"/>
      </w:pPr>
      <w:r>
        <w:t>Decem</w:t>
      </w:r>
      <w:r w:rsidR="00F21DC8" w:rsidRPr="00F21DC8">
        <w:t>ber</w:t>
      </w:r>
      <w:r w:rsidR="001602DC" w:rsidRPr="00F21DC8">
        <w:t xml:space="preserve"> </w:t>
      </w:r>
      <w:r w:rsidR="00404885" w:rsidRPr="00F21DC8">
        <w:t>2020</w:t>
      </w:r>
    </w:p>
    <w:p w14:paraId="3F700648" w14:textId="77777777" w:rsidR="00540507" w:rsidRDefault="00540507" w:rsidP="004A1254"/>
    <w:p w14:paraId="6E799DC7" w14:textId="31347941" w:rsidR="00540507" w:rsidRDefault="00540507" w:rsidP="004A1254">
      <w:pPr>
        <w:sectPr w:rsidR="00540507" w:rsidSect="00F436D6">
          <w:headerReference w:type="even" r:id="rId12"/>
          <w:headerReference w:type="default" r:id="rId13"/>
          <w:footerReference w:type="even" r:id="rId14"/>
          <w:footerReference w:type="default" r:id="rId15"/>
          <w:headerReference w:type="first" r:id="rId16"/>
          <w:footerReference w:type="first" r:id="rId17"/>
          <w:pgSz w:w="11900" w:h="16840"/>
          <w:pgMar w:top="2552" w:right="737" w:bottom="567" w:left="737" w:header="709" w:footer="284" w:gutter="0"/>
          <w:cols w:space="708"/>
          <w:titlePg/>
          <w:docGrid w:linePitch="360"/>
        </w:sectPr>
      </w:pPr>
    </w:p>
    <w:p w14:paraId="6E799DC8" w14:textId="77777777" w:rsidR="0025503C" w:rsidRPr="0077487D" w:rsidRDefault="00CE36DA" w:rsidP="0077487D">
      <w:pPr>
        <w:pStyle w:val="LSSChapt1"/>
      </w:pPr>
      <w:r>
        <w:lastRenderedPageBreak/>
        <w:t>Introduction</w:t>
      </w:r>
    </w:p>
    <w:p w14:paraId="6E799DC9" w14:textId="1F1A28AD" w:rsidR="00CE36DA" w:rsidRDefault="00CE36DA" w:rsidP="00CE36DA">
      <w:r>
        <w:t>The Law Society of Scotland is the professional body for over 1</w:t>
      </w:r>
      <w:r w:rsidR="00404885">
        <w:t>2</w:t>
      </w:r>
      <w:r>
        <w:t>,000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6E799DCA" w14:textId="77777777" w:rsidR="00CE36DA" w:rsidRDefault="00CE36DA" w:rsidP="00CE36DA">
      <w: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08C3F9E2" w14:textId="14DE25A9" w:rsidR="00792AB3" w:rsidRDefault="004634B5" w:rsidP="00792AB3">
      <w:r>
        <w:t xml:space="preserve">Our </w:t>
      </w:r>
      <w:r w:rsidR="00B43D2D">
        <w:t>Competition</w:t>
      </w:r>
      <w:r w:rsidR="0028561C">
        <w:t xml:space="preserve"> Law</w:t>
      </w:r>
      <w:r>
        <w:t xml:space="preserve"> </w:t>
      </w:r>
      <w:r w:rsidR="00B43D2D">
        <w:t>C</w:t>
      </w:r>
      <w:r>
        <w:t>ommittee</w:t>
      </w:r>
      <w:r w:rsidR="00917D24">
        <w:t xml:space="preserve"> </w:t>
      </w:r>
      <w:r w:rsidR="00CE36DA">
        <w:t>welcome</w:t>
      </w:r>
      <w:r w:rsidR="00917D24">
        <w:t>s</w:t>
      </w:r>
      <w:r w:rsidR="00CE36DA">
        <w:t xml:space="preserve"> the opportunity to </w:t>
      </w:r>
      <w:r w:rsidR="00E912F3">
        <w:t xml:space="preserve">respond to </w:t>
      </w:r>
      <w:r w:rsidR="00917D24">
        <w:t xml:space="preserve">the </w:t>
      </w:r>
      <w:r w:rsidR="0028561C">
        <w:t xml:space="preserve">UK Government’s consultation on </w:t>
      </w:r>
      <w:r w:rsidR="00792AB3" w:rsidRPr="00792AB3">
        <w:rPr>
          <w:i/>
          <w:iCs/>
          <w:lang w:val="en"/>
        </w:rPr>
        <w:t>Updates to the CMA’s mergers procedural guidelines (CMA2 and CMA56)</w:t>
      </w:r>
      <w:r>
        <w:t>.</w:t>
      </w:r>
      <w:r w:rsidR="0028561C">
        <w:rPr>
          <w:rStyle w:val="FootnoteReference"/>
        </w:rPr>
        <w:footnoteReference w:id="2"/>
      </w:r>
      <w:r>
        <w:t xml:space="preserve"> </w:t>
      </w:r>
      <w:r w:rsidR="00EC6A00">
        <w:t>We</w:t>
      </w:r>
      <w:r w:rsidR="00CE36DA">
        <w:t xml:space="preserve"> ha</w:t>
      </w:r>
      <w:r w:rsidR="00EC6A00">
        <w:t>ve</w:t>
      </w:r>
      <w:r w:rsidR="00CE36DA">
        <w:t xml:space="preserve"> the following comments to put forward for consideration.</w:t>
      </w:r>
      <w:r w:rsidR="003614D4" w:rsidRPr="003614D4">
        <w:t xml:space="preserve"> </w:t>
      </w:r>
      <w:r w:rsidR="00792AB3">
        <w:br/>
      </w:r>
    </w:p>
    <w:p w14:paraId="7A9961ED" w14:textId="27A53A8D" w:rsidR="00D11884" w:rsidRPr="00766E45" w:rsidRDefault="00792AB3" w:rsidP="00D11884">
      <w:pPr>
        <w:pStyle w:val="LSSChapt1"/>
      </w:pPr>
      <w:r>
        <w:t>General remarks</w:t>
      </w:r>
    </w:p>
    <w:p w14:paraId="7B150FE0" w14:textId="6B97EE84" w:rsidR="00792AB3" w:rsidRPr="00B00AAC" w:rsidRDefault="00792AB3" w:rsidP="00792AB3">
      <w:r>
        <w:t xml:space="preserve">The Law Society of Scotland </w:t>
      </w:r>
      <w:r w:rsidRPr="00B00AAC">
        <w:t xml:space="preserve">welcomes the CMA's </w:t>
      </w:r>
      <w:r>
        <w:t xml:space="preserve">draft revised Guidance on its procedures and on its approach to its jurisdiction in </w:t>
      </w:r>
      <w:r w:rsidRPr="00B00AAC">
        <w:t xml:space="preserve">(CMA2 and CMA56).  </w:t>
      </w:r>
      <w:r>
        <w:t xml:space="preserve">It is essential that the CMA's guidance helps in creating as much certainty and predictability as is reasonably possible.  Uncertainty and unpredictability create costs for business and investment. It is </w:t>
      </w:r>
      <w:r w:rsidRPr="00B00AAC">
        <w:t xml:space="preserve">important for all stakeholders that the CMA's guidance </w:t>
      </w:r>
      <w:r>
        <w:t>clearly and</w:t>
      </w:r>
      <w:r w:rsidRPr="00B00AAC">
        <w:t xml:space="preserve"> </w:t>
      </w:r>
      <w:r>
        <w:t>accurately</w:t>
      </w:r>
      <w:r w:rsidRPr="00B00AAC">
        <w:t xml:space="preserve"> reflect</w:t>
      </w:r>
      <w:r>
        <w:t>s</w:t>
      </w:r>
      <w:r w:rsidRPr="00B00AAC">
        <w:t xml:space="preserve"> its current practices. </w:t>
      </w:r>
      <w:r>
        <w:t>There have been numerous and significant developments in the CMA's approach and practices since the last iteration of its Guidance in 2014. Our comments are on the clarity of the Guidance rather than the CMA's procedures themselves</w:t>
      </w:r>
      <w:r w:rsidRPr="00B00AAC">
        <w:t xml:space="preserve"> (CMA2con and CMA56con).</w:t>
      </w:r>
      <w:r>
        <w:br/>
      </w:r>
    </w:p>
    <w:p w14:paraId="51E0B55F" w14:textId="5092497F" w:rsidR="00792AB3" w:rsidRPr="00792AB3" w:rsidRDefault="00792AB3" w:rsidP="00792AB3">
      <w:pPr>
        <w:pStyle w:val="LSSChapt1"/>
      </w:pPr>
      <w:r w:rsidRPr="00792AB3">
        <w:t>Comments</w:t>
      </w:r>
      <w:r>
        <w:t xml:space="preserve"> on the draft guidance</w:t>
      </w:r>
    </w:p>
    <w:p w14:paraId="2E5686C6" w14:textId="77777777" w:rsidR="00792AB3" w:rsidRPr="00792AB3" w:rsidRDefault="00792AB3" w:rsidP="00792AB3">
      <w:pPr>
        <w:rPr>
          <w:b/>
          <w:bCs/>
          <w:color w:val="002C5C"/>
          <w:sz w:val="24"/>
          <w:szCs w:val="24"/>
        </w:rPr>
      </w:pPr>
      <w:r w:rsidRPr="00792AB3">
        <w:rPr>
          <w:b/>
          <w:bCs/>
          <w:color w:val="002C5C"/>
          <w:sz w:val="24"/>
          <w:szCs w:val="24"/>
        </w:rPr>
        <w:t>Jurisdiction and relevant merger situations</w:t>
      </w:r>
    </w:p>
    <w:p w14:paraId="487D356B" w14:textId="77777777" w:rsidR="00792AB3" w:rsidRPr="00792AB3" w:rsidRDefault="00792AB3" w:rsidP="00792AB3">
      <w:pPr>
        <w:rPr>
          <w:i/>
          <w:iCs/>
        </w:rPr>
      </w:pPr>
      <w:r w:rsidRPr="00792AB3">
        <w:rPr>
          <w:i/>
          <w:iCs/>
        </w:rPr>
        <w:t>Enterprises</w:t>
      </w:r>
    </w:p>
    <w:p w14:paraId="06771B66" w14:textId="0900BBE8" w:rsidR="00792AB3" w:rsidRDefault="00792AB3" w:rsidP="00792AB3">
      <w:r>
        <w:t xml:space="preserve">We believe it would be helpful to give greater detail on the circumstances in which the acquisition of assets would be regarded as the acquisition of an enterprise.  </w:t>
      </w:r>
      <w:r w:rsidRPr="00B00AAC">
        <w:t xml:space="preserve">Paragraphs 4.13 and 4.18 CMA2con </w:t>
      </w:r>
      <w:r>
        <w:t xml:space="preserve">set out </w:t>
      </w:r>
      <w:r w:rsidRPr="00B00AAC">
        <w:t>when the CMA will consider that a transfer of assets constitutes an enterprise</w:t>
      </w:r>
      <w:r>
        <w:t>:</w:t>
      </w:r>
    </w:p>
    <w:p w14:paraId="2262BD25" w14:textId="77777777" w:rsidR="00792AB3" w:rsidRPr="00B00AAC" w:rsidRDefault="00792AB3" w:rsidP="00792AB3">
      <w:r w:rsidRPr="00792AB3">
        <w:rPr>
          <w:i/>
          <w:iCs/>
        </w:rPr>
        <w:lastRenderedPageBreak/>
        <w:t xml:space="preserve"> "An enterprise would generally require something more than bare assets, related to the fact that the assets being transferred were previously employed in combination in the activities of the business being acquired"</w:t>
      </w:r>
      <w:r w:rsidRPr="00792AB3">
        <w:t xml:space="preserve"> </w:t>
      </w:r>
      <w:r w:rsidRPr="00B00AAC">
        <w:t>(para 4.13)</w:t>
      </w:r>
    </w:p>
    <w:p w14:paraId="40FF0AE9" w14:textId="40C361EF" w:rsidR="00792AB3" w:rsidRPr="00B00AAC" w:rsidRDefault="00792AB3" w:rsidP="00792AB3">
      <w:r>
        <w:t xml:space="preserve">This description potentially muddies the test given by the </w:t>
      </w:r>
      <w:r w:rsidRPr="00B00AAC">
        <w:t xml:space="preserve">Supreme Court </w:t>
      </w:r>
      <w:r>
        <w:t>i</w:t>
      </w:r>
      <w:r w:rsidRPr="00B00AAC">
        <w:t xml:space="preserve">n </w:t>
      </w:r>
      <w:r w:rsidRPr="00792AB3">
        <w:t>Eurotunnel</w:t>
      </w:r>
      <w:r w:rsidRPr="00B00AAC">
        <w:t xml:space="preserve"> </w:t>
      </w:r>
      <w:r>
        <w:t>that for an enterprise to be comprised in the acquisition of assets</w:t>
      </w:r>
      <w:r>
        <w:t>:</w:t>
      </w:r>
      <w:r>
        <w:rPr>
          <w:rStyle w:val="FootnoteReference"/>
        </w:rPr>
        <w:footnoteReference w:id="3"/>
      </w:r>
    </w:p>
    <w:p w14:paraId="135257A7" w14:textId="37438F16" w:rsidR="00792AB3" w:rsidRPr="00B00AAC" w:rsidRDefault="00792AB3" w:rsidP="00792AB3">
      <w:r w:rsidRPr="00792AB3">
        <w:t>"</w:t>
      </w:r>
      <w:r w:rsidRPr="00792AB3">
        <w:rPr>
          <w:i/>
          <w:iCs/>
        </w:rPr>
        <w:t>they must give him more than he might have acquired by going into the market and buying factors of production, and (ii) the extra must be attributable to the fact that the assets were previously employed in combination in the "activities" of the target enterprise</w:t>
      </w:r>
      <w:r>
        <w:rPr>
          <w:i/>
          <w:iCs/>
        </w:rPr>
        <w:t>…</w:t>
      </w:r>
      <w:r w:rsidRPr="00792AB3">
        <w:t>"</w:t>
      </w:r>
      <w:r w:rsidRPr="00B00AAC">
        <w:t xml:space="preserve"> </w:t>
      </w:r>
    </w:p>
    <w:p w14:paraId="6F3EA9E1" w14:textId="5AF9CCB6" w:rsidR="00792AB3" w:rsidRPr="00792AB3" w:rsidRDefault="00792AB3" w:rsidP="00792AB3">
      <w:r>
        <w:t>There is a risk that the description set out by the CMA</w:t>
      </w:r>
      <w:r>
        <w:t>,</w:t>
      </w:r>
      <w:r>
        <w:t xml:space="preserve"> in changing the formulation of the Supreme Court</w:t>
      </w:r>
      <w:r>
        <w:t>,</w:t>
      </w:r>
      <w:r>
        <w:t xml:space="preserve"> is not likely to be regarded as a faithful representation.</w:t>
      </w:r>
    </w:p>
    <w:p w14:paraId="520813E0" w14:textId="77777777" w:rsidR="00792AB3" w:rsidRPr="00792AB3" w:rsidRDefault="00792AB3" w:rsidP="00792AB3">
      <w:pPr>
        <w:rPr>
          <w:i/>
          <w:iCs/>
        </w:rPr>
      </w:pPr>
      <w:r w:rsidRPr="00792AB3">
        <w:rPr>
          <w:i/>
          <w:iCs/>
        </w:rPr>
        <w:t>The share of supply test</w:t>
      </w:r>
    </w:p>
    <w:p w14:paraId="1AEF4B06" w14:textId="62DEE251" w:rsidR="00792AB3" w:rsidRPr="009E23C2" w:rsidRDefault="00916FBF" w:rsidP="00792AB3">
      <w:r>
        <w:t>P</w:t>
      </w:r>
      <w:r w:rsidR="00792AB3" w:rsidRPr="009E23C2">
        <w:t xml:space="preserve">aragraph 4.63(b) </w:t>
      </w:r>
      <w:r>
        <w:t xml:space="preserve">discusses </w:t>
      </w:r>
      <w:r w:rsidR="00792AB3">
        <w:t>the</w:t>
      </w:r>
      <w:r w:rsidR="00792AB3" w:rsidRPr="009E23C2">
        <w:t xml:space="preserve"> goods or services</w:t>
      </w:r>
      <w:r>
        <w:t xml:space="preserve">, </w:t>
      </w:r>
      <w:r w:rsidR="00792AB3">
        <w:t xml:space="preserve">which </w:t>
      </w:r>
      <w:r w:rsidR="00792AB3" w:rsidRPr="009E23C2">
        <w:t>the CMA will have regard to in determining whether the share of supply test is met</w:t>
      </w:r>
      <w:r w:rsidR="00792AB3">
        <w:t>, stating that it will have regard to any "reasonable description" recognising "commercial reality".</w:t>
      </w:r>
      <w:r w:rsidR="00792AB3" w:rsidRPr="009E23C2">
        <w:t xml:space="preserve"> </w:t>
      </w:r>
      <w:r w:rsidR="00792AB3">
        <w:t>The Draft states that "</w:t>
      </w:r>
      <w:r w:rsidR="00792AB3" w:rsidRPr="00916FBF">
        <w:rPr>
          <w:i/>
          <w:iCs/>
        </w:rPr>
        <w:t>competitive interactions between firms may not be reduced to overlaps in directly-marketed products or services but can result, for example, from overlaps involving pipeline products or services</w:t>
      </w:r>
      <w:r w:rsidR="00BE0328">
        <w:rPr>
          <w:i/>
          <w:iCs/>
        </w:rPr>
        <w:t>”</w:t>
      </w:r>
      <w:r w:rsidR="00792AB3" w:rsidRPr="00916FBF">
        <w:rPr>
          <w:i/>
          <w:iCs/>
        </w:rPr>
        <w:t xml:space="preserve"> </w:t>
      </w:r>
      <w:r w:rsidR="00792AB3" w:rsidRPr="00BE0328">
        <w:t xml:space="preserve">thus following </w:t>
      </w:r>
      <w:r w:rsidR="00792AB3" w:rsidRPr="00BE0328">
        <w:rPr>
          <w:i/>
          <w:iCs/>
        </w:rPr>
        <w:t>Roche Holdings/ Spark Therapeutics</w:t>
      </w:r>
      <w:r w:rsidR="00792AB3" w:rsidRPr="00BE0328">
        <w:t>.</w:t>
      </w:r>
      <w:r w:rsidR="00792AB3" w:rsidRPr="00792AB3">
        <w:t xml:space="preserve"> </w:t>
      </w:r>
      <w:r w:rsidR="00792AB3">
        <w:t xml:space="preserve"> </w:t>
      </w:r>
      <w:r>
        <w:t>We are concerned</w:t>
      </w:r>
      <w:r w:rsidR="00792AB3">
        <w:t xml:space="preserve"> that </w:t>
      </w:r>
      <w:r w:rsidR="00792AB3" w:rsidRPr="009E23C2">
        <w:t>"</w:t>
      </w:r>
      <w:r w:rsidR="00792AB3" w:rsidRPr="00916FBF">
        <w:rPr>
          <w:i/>
          <w:iCs/>
        </w:rPr>
        <w:t>overlaps involving pipeline products or services</w:t>
      </w:r>
      <w:r w:rsidR="00792AB3" w:rsidRPr="009E23C2">
        <w:t>"</w:t>
      </w:r>
      <w:r w:rsidR="00792AB3">
        <w:t xml:space="preserve"> </w:t>
      </w:r>
      <w:r>
        <w:t xml:space="preserve">is insufficiently clear are </w:t>
      </w:r>
      <w:r w:rsidR="00792AB3">
        <w:t>leaves businesses uncertain as to th</w:t>
      </w:r>
      <w:r>
        <w:t xml:space="preserve">e intended </w:t>
      </w:r>
      <w:r w:rsidR="00792AB3">
        <w:t>scope.</w:t>
      </w:r>
    </w:p>
    <w:p w14:paraId="691DE611" w14:textId="0781DCC8" w:rsidR="00792AB3" w:rsidRPr="00B406A7" w:rsidRDefault="00792AB3" w:rsidP="00792AB3">
      <w:r w:rsidRPr="00B406A7">
        <w:t xml:space="preserve">It would be helpful if the CMA </w:t>
      </w:r>
      <w:r w:rsidR="00916FBF">
        <w:t>guidance could</w:t>
      </w:r>
      <w:r w:rsidRPr="00B406A7">
        <w:t xml:space="preserve"> give some additional clarity as to how wide</w:t>
      </w:r>
      <w:r w:rsidR="00916FBF">
        <w:t>-</w:t>
      </w:r>
      <w:r w:rsidRPr="00B406A7">
        <w:t>ranging its scope could reasonably be.</w:t>
      </w:r>
      <w:r w:rsidR="00916FBF">
        <w:t xml:space="preserve"> For example, it would be helpful to understand w</w:t>
      </w:r>
      <w:r w:rsidRPr="00B406A7">
        <w:t>hat constitutes a pipeline</w:t>
      </w:r>
      <w:r w:rsidR="00916FBF">
        <w:t xml:space="preserve">; </w:t>
      </w:r>
      <w:r w:rsidRPr="00B406A7">
        <w:t xml:space="preserve">how definite </w:t>
      </w:r>
      <w:r w:rsidR="00916FBF">
        <w:t>t</w:t>
      </w:r>
      <w:r w:rsidRPr="00B406A7">
        <w:t xml:space="preserve">he product or service </w:t>
      </w:r>
      <w:r w:rsidR="00916FBF">
        <w:t xml:space="preserve">needs to </w:t>
      </w:r>
      <w:r w:rsidRPr="00B406A7">
        <w:t>be</w:t>
      </w:r>
      <w:r w:rsidR="00916FBF">
        <w:t>;</w:t>
      </w:r>
      <w:r w:rsidRPr="00B406A7">
        <w:t xml:space="preserve"> and how that align</w:t>
      </w:r>
      <w:r w:rsidR="00916FBF">
        <w:t>s</w:t>
      </w:r>
      <w:r w:rsidRPr="00B406A7">
        <w:t xml:space="preserve"> with future intentions or plans</w:t>
      </w:r>
      <w:r w:rsidR="00916FBF">
        <w:t xml:space="preserve"> -</w:t>
      </w:r>
      <w:r w:rsidRPr="00B406A7">
        <w:t xml:space="preserve"> for example</w:t>
      </w:r>
      <w:r w:rsidR="00916FBF">
        <w:t>,</w:t>
      </w:r>
      <w:r w:rsidRPr="00B406A7">
        <w:t xml:space="preserve"> to enter a market</w:t>
      </w:r>
      <w:r w:rsidR="00916FBF">
        <w:t>.</w:t>
      </w:r>
    </w:p>
    <w:p w14:paraId="3B0FFF8E" w14:textId="77777777" w:rsidR="00792AB3" w:rsidRPr="00792AB3" w:rsidRDefault="00792AB3" w:rsidP="00792AB3">
      <w:pPr>
        <w:rPr>
          <w:b/>
          <w:bCs/>
          <w:color w:val="002C5C"/>
          <w:sz w:val="24"/>
          <w:szCs w:val="24"/>
        </w:rPr>
      </w:pPr>
      <w:r w:rsidRPr="00792AB3">
        <w:rPr>
          <w:b/>
          <w:bCs/>
          <w:color w:val="002C5C"/>
          <w:sz w:val="24"/>
          <w:szCs w:val="24"/>
        </w:rPr>
        <w:t>Pre-notification process</w:t>
      </w:r>
    </w:p>
    <w:p w14:paraId="6FCBBB35" w14:textId="00F832E3" w:rsidR="00792AB3" w:rsidRDefault="00792AB3" w:rsidP="00792AB3">
      <w:r>
        <w:t xml:space="preserve">The description of the Pre-notification Phase does not sufficiently reflect the significant front-loading which </w:t>
      </w:r>
      <w:r w:rsidR="006D5B67">
        <w:t xml:space="preserve">is </w:t>
      </w:r>
      <w:r>
        <w:t>often involved in this aspect of the process.</w:t>
      </w:r>
    </w:p>
    <w:p w14:paraId="75D9CB2C" w14:textId="77777777" w:rsidR="00792AB3" w:rsidRDefault="00792AB3" w:rsidP="00792AB3">
      <w:r>
        <w:t>Significant volumes of data can often be required at this stage and P</w:t>
      </w:r>
      <w:r w:rsidRPr="009A080C">
        <w:t xml:space="preserve">aragraphs 6.17 to 6.19 CMA2con </w:t>
      </w:r>
      <w:r>
        <w:t>may not clearly enough pre-warn business of</w:t>
      </w:r>
      <w:r w:rsidRPr="009A080C">
        <w:t xml:space="preserve"> the volume of information the CMA </w:t>
      </w:r>
      <w:r>
        <w:t>regularly</w:t>
      </w:r>
      <w:r w:rsidRPr="009A080C">
        <w:t xml:space="preserve"> requests in pre-notification.  </w:t>
      </w:r>
      <w:r>
        <w:t xml:space="preserve">In practice, in many cases </w:t>
      </w:r>
      <w:r w:rsidRPr="009A080C">
        <w:t xml:space="preserve">most of the information required for </w:t>
      </w:r>
      <w:r>
        <w:t>the</w:t>
      </w:r>
      <w:r w:rsidRPr="009A080C">
        <w:t xml:space="preserve"> Phase 1 decision </w:t>
      </w:r>
      <w:r>
        <w:t>is ingathered at this stage.</w:t>
      </w:r>
    </w:p>
    <w:p w14:paraId="3F545EFB" w14:textId="77FF8C9C" w:rsidR="00792AB3" w:rsidRPr="00B00AAC" w:rsidRDefault="00792AB3" w:rsidP="00792AB3">
      <w:r>
        <w:lastRenderedPageBreak/>
        <w:t>As regards its duration t</w:t>
      </w:r>
      <w:r w:rsidRPr="00B00AAC">
        <w:t xml:space="preserve">he CMA notes </w:t>
      </w:r>
      <w:r>
        <w:t xml:space="preserve">on page 43 </w:t>
      </w:r>
      <w:r w:rsidRPr="00B00AAC">
        <w:t>that the duration of the pre-notification process will differ on a case-by-case basis, but that pre-notification ought to take a minimum of two weeks.</w:t>
      </w:r>
      <w:r>
        <w:t xml:space="preserve">  We think it would be fairer to point out</w:t>
      </w:r>
      <w:r w:rsidR="006D5B67">
        <w:t xml:space="preserve"> - </w:t>
      </w:r>
      <w:r>
        <w:t>especially for businesses and practitioners who may not regularly deal with merger control, and may be relying</w:t>
      </w:r>
      <w:r w:rsidR="006D5B67">
        <w:t xml:space="preserve"> more heavily</w:t>
      </w:r>
      <w:r>
        <w:t xml:space="preserve"> on the Guidance</w:t>
      </w:r>
      <w:r w:rsidR="006D5B67">
        <w:t xml:space="preserve"> - </w:t>
      </w:r>
      <w:r>
        <w:t xml:space="preserve">that </w:t>
      </w:r>
      <w:r w:rsidRPr="00B00AAC">
        <w:t xml:space="preserve">the potential duration of pre-notification, can run to three months </w:t>
      </w:r>
      <w:r>
        <w:t xml:space="preserve">even </w:t>
      </w:r>
      <w:r w:rsidRPr="00B00AAC">
        <w:t xml:space="preserve">in cases that </w:t>
      </w:r>
      <w:r>
        <w:t xml:space="preserve">are not </w:t>
      </w:r>
      <w:r w:rsidRPr="00B00AAC">
        <w:t>particular</w:t>
      </w:r>
      <w:r>
        <w:t>ly</w:t>
      </w:r>
      <w:r w:rsidRPr="00B00AAC">
        <w:t xml:space="preserve"> complex.  </w:t>
      </w:r>
      <w:r>
        <w:t xml:space="preserve">We understand the average in 2020 was more than 40 working days.  </w:t>
      </w:r>
    </w:p>
    <w:p w14:paraId="22CC90BD" w14:textId="77777777" w:rsidR="00792AB3" w:rsidRPr="00B00AAC" w:rsidRDefault="00792AB3" w:rsidP="00792AB3">
      <w:r w:rsidRPr="00B00AAC">
        <w:t>The guidance should better reflect these realities by providing indicative timeframes for anticipated mergers.</w:t>
      </w:r>
    </w:p>
    <w:p w14:paraId="1CD95610" w14:textId="77777777" w:rsidR="00792AB3" w:rsidRPr="00792AB3" w:rsidRDefault="00792AB3" w:rsidP="00792AB3">
      <w:pPr>
        <w:rPr>
          <w:b/>
          <w:bCs/>
          <w:color w:val="002C5C"/>
          <w:sz w:val="24"/>
          <w:szCs w:val="24"/>
        </w:rPr>
      </w:pPr>
      <w:r w:rsidRPr="00792AB3">
        <w:rPr>
          <w:b/>
          <w:bCs/>
          <w:color w:val="002C5C"/>
          <w:sz w:val="24"/>
          <w:szCs w:val="24"/>
        </w:rPr>
        <w:t>Fast track processes</w:t>
      </w:r>
    </w:p>
    <w:p w14:paraId="58C76E84" w14:textId="77777777" w:rsidR="00792AB3" w:rsidRPr="006D6319" w:rsidRDefault="00792AB3" w:rsidP="00792AB3">
      <w:r w:rsidRPr="006D6319">
        <w:t xml:space="preserve">We </w:t>
      </w:r>
      <w:r>
        <w:t>welcome the flexibility around fast-track possibilities and would suggest</w:t>
      </w:r>
      <w:r w:rsidRPr="006D6319">
        <w:t xml:space="preserve"> the CMA states how it will treat a</w:t>
      </w:r>
      <w:r>
        <w:t>n</w:t>
      </w:r>
      <w:r w:rsidRPr="006D6319">
        <w:t xml:space="preserve"> application</w:t>
      </w:r>
      <w:r>
        <w:t xml:space="preserve"> which has been declined</w:t>
      </w:r>
      <w:r w:rsidRPr="006D6319">
        <w:t>, and in particular the acceptance that the test for reference is met, in its decision-making.  This is essential if the fast-track procedure is to be used in anything other than in clear-cut cases.</w:t>
      </w:r>
    </w:p>
    <w:p w14:paraId="75E79B76" w14:textId="77777777" w:rsidR="00792AB3" w:rsidRPr="00792AB3" w:rsidRDefault="00792AB3" w:rsidP="00792AB3">
      <w:pPr>
        <w:rPr>
          <w:b/>
          <w:bCs/>
          <w:color w:val="002C5C"/>
          <w:sz w:val="24"/>
          <w:szCs w:val="24"/>
        </w:rPr>
      </w:pPr>
      <w:r w:rsidRPr="00792AB3">
        <w:rPr>
          <w:b/>
          <w:bCs/>
          <w:color w:val="002C5C"/>
          <w:sz w:val="24"/>
          <w:szCs w:val="24"/>
        </w:rPr>
        <w:t>Phase 2 assessment process</w:t>
      </w:r>
    </w:p>
    <w:p w14:paraId="5143F215" w14:textId="77777777" w:rsidR="00792AB3" w:rsidRPr="00792AB3" w:rsidRDefault="00792AB3" w:rsidP="00792AB3">
      <w:pPr>
        <w:rPr>
          <w:i/>
          <w:iCs/>
        </w:rPr>
      </w:pPr>
      <w:r w:rsidRPr="00792AB3">
        <w:rPr>
          <w:i/>
          <w:iCs/>
        </w:rPr>
        <w:t>Parties' submissions</w:t>
      </w:r>
    </w:p>
    <w:p w14:paraId="36AADEFB" w14:textId="46F49240" w:rsidR="00792AB3" w:rsidRPr="00B00AAC" w:rsidRDefault="00792AB3" w:rsidP="00792AB3">
      <w:r w:rsidRPr="00B00AAC">
        <w:t xml:space="preserve">We </w:t>
      </w:r>
      <w:r>
        <w:t>would wish to ensure that</w:t>
      </w:r>
      <w:r w:rsidRPr="00B00AAC">
        <w:t xml:space="preserve"> merger parties </w:t>
      </w:r>
      <w:r>
        <w:t>are able to have relevant evidence presented and considered in a way that is efficient for the CM</w:t>
      </w:r>
      <w:r w:rsidR="006D5B67">
        <w:t>A</w:t>
      </w:r>
      <w:r>
        <w:t xml:space="preserve">'s process but which is relevant for </w:t>
      </w:r>
      <w:r w:rsidRPr="00B00AAC">
        <w:t xml:space="preserve">concerns the CMA may have as regards the merger during the Phase 2 process.  In particular </w:t>
      </w:r>
      <w:r w:rsidRPr="002D65A4">
        <w:t xml:space="preserve">the CMA clearly commits to review submissions made by the parties </w:t>
      </w:r>
      <w:r>
        <w:t xml:space="preserve">at </w:t>
      </w:r>
      <w:r w:rsidRPr="00B00AAC">
        <w:t>three stages during the Phase 2 process: response to the issues statement, response to the annotated issues statement (and any working papers disclosed) and in response to the provisional findings.  Submissions provided outside these stages may not be taken into account</w:t>
      </w:r>
      <w:r>
        <w:t>.</w:t>
      </w:r>
      <w:r w:rsidR="006D5B67">
        <w:rPr>
          <w:rStyle w:val="FootnoteReference"/>
        </w:rPr>
        <w:footnoteReference w:id="4"/>
      </w:r>
      <w:r>
        <w:t xml:space="preserve">  </w:t>
      </w:r>
      <w:r w:rsidRPr="00B00AAC">
        <w:t>Fewer working papers will be disclosed to the parties – the draft revised guidance confines this to "key" working papers, the number and nature of which will vary on a case by case basis.</w:t>
      </w:r>
      <w:r w:rsidR="006D5B67">
        <w:rPr>
          <w:rStyle w:val="FootnoteReference"/>
        </w:rPr>
        <w:footnoteReference w:id="5"/>
      </w:r>
      <w:r w:rsidRPr="00B00AAC">
        <w:t xml:space="preserve"> </w:t>
      </w:r>
    </w:p>
    <w:p w14:paraId="5439045F" w14:textId="1F64CC56" w:rsidR="00792AB3" w:rsidRPr="00B00AAC" w:rsidRDefault="00792AB3" w:rsidP="00792AB3">
      <w:r>
        <w:t>C</w:t>
      </w:r>
      <w:r w:rsidRPr="00B00AAC">
        <w:t>larity</w:t>
      </w:r>
      <w:r w:rsidR="006D5B67" w:rsidRPr="006D5B67">
        <w:t xml:space="preserve"> </w:t>
      </w:r>
      <w:r w:rsidR="006D5B67">
        <w:t>would be helpful</w:t>
      </w:r>
      <w:r w:rsidRPr="00B00AAC">
        <w:t xml:space="preserve"> on when submissions will be taken into account </w:t>
      </w:r>
      <w:r w:rsidR="006D5B67" w:rsidRPr="00B00AAC">
        <w:t>outside of the three main stages</w:t>
      </w:r>
      <w:r>
        <w:t>. There must have been instances where errors or misunderstandings have been avoided with a responsive or receptive regime and the ability to consider working papers "on the go"</w:t>
      </w:r>
      <w:r w:rsidRPr="00B00AAC">
        <w:t>.</w:t>
      </w:r>
    </w:p>
    <w:p w14:paraId="2A698B67" w14:textId="77777777" w:rsidR="00792AB3" w:rsidRPr="00792AB3" w:rsidRDefault="00792AB3" w:rsidP="00792AB3">
      <w:pPr>
        <w:rPr>
          <w:i/>
          <w:iCs/>
        </w:rPr>
      </w:pPr>
      <w:r w:rsidRPr="00792AB3">
        <w:rPr>
          <w:i/>
          <w:iCs/>
        </w:rPr>
        <w:t>Final report</w:t>
      </w:r>
    </w:p>
    <w:p w14:paraId="2E15AE8F" w14:textId="77777777" w:rsidR="00792AB3" w:rsidRDefault="00792AB3" w:rsidP="00792AB3">
      <w:r w:rsidRPr="00B00AAC">
        <w:t>We note the CMA has changed the standard of what will be published from "</w:t>
      </w:r>
      <w:r w:rsidRPr="00BE0328">
        <w:rPr>
          <w:i/>
          <w:iCs/>
        </w:rPr>
        <w:t>as is necessary to facilitate a proper understanding</w:t>
      </w:r>
      <w:r w:rsidRPr="00B00AAC">
        <w:t>" to a standard of "</w:t>
      </w:r>
      <w:r w:rsidRPr="00BE0328">
        <w:rPr>
          <w:i/>
          <w:iCs/>
        </w:rPr>
        <w:t>reasons and information the CMA considers appropriate</w:t>
      </w:r>
      <w:r w:rsidRPr="00B00AAC">
        <w:t>"</w:t>
      </w:r>
      <w:r>
        <w:t xml:space="preserve"> (</w:t>
      </w:r>
      <w:r w:rsidRPr="00F52CE4">
        <w:t xml:space="preserve">Paragraph </w:t>
      </w:r>
      <w:r w:rsidRPr="00F52CE4">
        <w:lastRenderedPageBreak/>
        <w:t>13.22</w:t>
      </w:r>
      <w:r>
        <w:t>)</w:t>
      </w:r>
      <w:r w:rsidRPr="00B00AAC">
        <w:t xml:space="preserve">.   </w:t>
      </w:r>
      <w:r>
        <w:t>A</w:t>
      </w:r>
      <w:r w:rsidRPr="00B00AAC">
        <w:t xml:space="preserve"> clear understanding of the CMA's decisions</w:t>
      </w:r>
      <w:r>
        <w:t xml:space="preserve"> is essential, especially given the CMA's practice of treating its own decisions as precedent (which can be useful).</w:t>
      </w:r>
    </w:p>
    <w:p w14:paraId="10D66A03" w14:textId="77777777" w:rsidR="00792AB3" w:rsidRPr="00792AB3" w:rsidRDefault="00792AB3" w:rsidP="00792AB3">
      <w:pPr>
        <w:rPr>
          <w:b/>
          <w:bCs/>
          <w:color w:val="002C5C"/>
          <w:sz w:val="24"/>
          <w:szCs w:val="24"/>
        </w:rPr>
      </w:pPr>
      <w:r w:rsidRPr="00792AB3">
        <w:rPr>
          <w:b/>
          <w:bCs/>
          <w:color w:val="002C5C"/>
          <w:sz w:val="24"/>
          <w:szCs w:val="24"/>
        </w:rPr>
        <w:t>IEOs</w:t>
      </w:r>
    </w:p>
    <w:p w14:paraId="0CADA233" w14:textId="04E5499B" w:rsidR="00792AB3" w:rsidRPr="00274447" w:rsidRDefault="00792AB3" w:rsidP="00792AB3">
      <w:r>
        <w:t>It will be no surprise to the CMA that parties in receipt of IEOs may find them to be highly restrictive of parts of their business</w:t>
      </w:r>
      <w:r w:rsidR="006D5B67">
        <w:t>,</w:t>
      </w:r>
      <w:r>
        <w:t xml:space="preserve"> which have no impact on the businesses merging and no realistic impact on any remedy the CMA might contemplate.  These wide ranging IEOs can be highly restrictive, putting companies and their executives in a difficult position with a strong possibility, even for a short period</w:t>
      </w:r>
      <w:r w:rsidR="006D5B67">
        <w:t>,</w:t>
      </w:r>
      <w:r>
        <w:t xml:space="preserve"> of unintentional breach.  Relying on CMA discretion not to enforce against such breaches is not as satisfactory as starting with IEOs which are tailored to a degree from the outset. That is preferable from the business certainty perspective and may be better from CMA resource point of view.  More detail on initial communication around this would be helpful.                                                                                                                                                                                                                                                                                                                                                                                                                                                                                                                                                                                                                                                                                                                                                                                                                                                                                                                                                                                                                                                                                                                                                                                                                                                                                                                                                                                                                                                                                                                                                                                                                                                                                                                                                                                                                                                                                                                                                                                                                                                                                                                                                                                                                                                                                                                                                                                                                                                                                                                                                                                                                                                                                                                                                                                                                                                                                                                                                                                                                                                                                                                                                                                                                                                                                                                                                                                                                                                                                                                                                                                                                                                                                                                                                                                                                                                                                                                                                                                                                                                                                                                                                                                                                                                                                                                                                                                                                                                                                                                                                                                                                                                                                                                                                                                                                                                                                                                                                                                                                </w:t>
      </w:r>
    </w:p>
    <w:p w14:paraId="7C343F56" w14:textId="77777777" w:rsidR="00792AB3" w:rsidRPr="00792AB3" w:rsidRDefault="00792AB3" w:rsidP="00792AB3">
      <w:pPr>
        <w:rPr>
          <w:b/>
          <w:bCs/>
          <w:color w:val="002C5C"/>
          <w:sz w:val="24"/>
          <w:szCs w:val="24"/>
        </w:rPr>
      </w:pPr>
      <w:r w:rsidRPr="00792AB3">
        <w:rPr>
          <w:b/>
          <w:bCs/>
          <w:color w:val="002C5C"/>
          <w:sz w:val="24"/>
          <w:szCs w:val="24"/>
        </w:rPr>
        <w:t>Multi-jurisdictional mergers</w:t>
      </w:r>
    </w:p>
    <w:p w14:paraId="7B6ECB03" w14:textId="1997378A" w:rsidR="00792AB3" w:rsidRPr="007A5410" w:rsidRDefault="00792AB3" w:rsidP="00792AB3">
      <w:r>
        <w:t>T</w:t>
      </w:r>
      <w:r w:rsidRPr="00B406A7">
        <w:t>he CMA may take into account merger control proc</w:t>
      </w:r>
      <w:r>
        <w:t xml:space="preserve">esses in other jurisdictions </w:t>
      </w:r>
      <w:r w:rsidRPr="00B406A7">
        <w:t>and</w:t>
      </w:r>
      <w:r>
        <w:t>,</w:t>
      </w:r>
      <w:r w:rsidRPr="00B406A7">
        <w:t xml:space="preserve"> </w:t>
      </w:r>
      <w:r w:rsidRPr="007A5410">
        <w:t xml:space="preserve">if remedies imposed or agreed would be likely to address competition concerns in the UK, decide </w:t>
      </w:r>
      <w:r>
        <w:t>not to open an investigation. Under</w:t>
      </w:r>
      <w:r w:rsidRPr="00B406A7">
        <w:t xml:space="preserve"> paragraph 8.4, </w:t>
      </w:r>
      <w:r w:rsidRPr="009100FF">
        <w:t xml:space="preserve">before expiry of the four-month statutory period </w:t>
      </w:r>
      <w:r w:rsidRPr="00B406A7">
        <w:t>the CMA may still consider whether to open a formal investigation</w:t>
      </w:r>
      <w:r>
        <w:t>.</w:t>
      </w:r>
      <w:r w:rsidRPr="00B406A7">
        <w:t xml:space="preserve"> </w:t>
      </w:r>
      <w:r w:rsidRPr="007A5410">
        <w:t>The lingering possibility of the CMA opening an investigation could cause avoidable uncertainty and/or delay. Some more detail on how this might play out would be welcome.</w:t>
      </w:r>
    </w:p>
    <w:p w14:paraId="646F2D32" w14:textId="77777777" w:rsidR="00792AB3" w:rsidRPr="00792AB3" w:rsidRDefault="00792AB3" w:rsidP="00792AB3">
      <w:pPr>
        <w:rPr>
          <w:b/>
          <w:bCs/>
          <w:color w:val="002C5C"/>
          <w:sz w:val="24"/>
          <w:szCs w:val="24"/>
        </w:rPr>
      </w:pPr>
      <w:r w:rsidRPr="00792AB3">
        <w:rPr>
          <w:b/>
          <w:bCs/>
          <w:color w:val="002C5C"/>
          <w:sz w:val="24"/>
          <w:szCs w:val="24"/>
        </w:rPr>
        <w:t>Public interest mergers</w:t>
      </w:r>
    </w:p>
    <w:p w14:paraId="1825C1CA" w14:textId="4FC16A42" w:rsidR="00792AB3" w:rsidRDefault="00792AB3" w:rsidP="00792AB3">
      <w:r w:rsidRPr="00B00AAC">
        <w:t xml:space="preserve">We </w:t>
      </w:r>
      <w:r w:rsidR="006D5B67">
        <w:t>consider</w:t>
      </w:r>
      <w:r>
        <w:t xml:space="preserve"> it would be helpful for the Guidance to reflect the major change taking place as regards </w:t>
      </w:r>
      <w:r w:rsidRPr="00B00AAC">
        <w:t>the</w:t>
      </w:r>
      <w:r>
        <w:t xml:space="preserve"> national security aspects of the </w:t>
      </w:r>
      <w:r w:rsidRPr="00B00AAC">
        <w:t>public interest merger regime</w:t>
      </w:r>
      <w:r>
        <w:t xml:space="preserve"> to the effect that n</w:t>
      </w:r>
      <w:r w:rsidRPr="00B00AAC">
        <w:t xml:space="preserve">ational security </w:t>
      </w:r>
      <w:r>
        <w:t>issues will be dealt with by the review procedures</w:t>
      </w:r>
      <w:r w:rsidRPr="00B00AAC">
        <w:t xml:space="preserve"> outlined in the National Security and Investment Bill (the </w:t>
      </w:r>
      <w:r w:rsidRPr="00792AB3">
        <w:t>Bill</w:t>
      </w:r>
      <w:r w:rsidRPr="00B00AAC">
        <w:t>)</w:t>
      </w:r>
      <w:r w:rsidR="006D5B67">
        <w:t xml:space="preserve"> - al</w:t>
      </w:r>
      <w:r>
        <w:t xml:space="preserve">l the more so given the fact that the review mechanism dates from 12 November 2020 </w:t>
      </w:r>
      <w:r w:rsidR="006D5B67">
        <w:t>al</w:t>
      </w:r>
      <w:r>
        <w:t xml:space="preserve">though the legislation has yet to be finalised. In the interim parties will be seeking informal contact with the </w:t>
      </w:r>
      <w:r w:rsidR="006D5B67">
        <w:t>Of</w:t>
      </w:r>
      <w:r>
        <w:t xml:space="preserve">fice for Investment. </w:t>
      </w:r>
      <w:r w:rsidR="006D5B67">
        <w:t>Alt</w:t>
      </w:r>
      <w:r>
        <w:t>hough it would be better if the CMA2 fully reflected at least the potential interface with those procedures</w:t>
      </w:r>
      <w:r w:rsidR="006D5B67">
        <w:t>,</w:t>
      </w:r>
      <w:r>
        <w:t xml:space="preserve"> it should address the fact that for a period we will have the "retrospective" application of the Bill but also the current procedures in the Enterprise Act</w:t>
      </w:r>
      <w:r w:rsidRPr="00B00AAC">
        <w:t>.</w:t>
      </w:r>
      <w:r w:rsidR="006D5B67">
        <w:rPr>
          <w:rStyle w:val="FootnoteReference"/>
        </w:rPr>
        <w:footnoteReference w:id="6"/>
      </w:r>
      <w:r w:rsidRPr="00B00AAC">
        <w:t xml:space="preserve"> </w:t>
      </w:r>
    </w:p>
    <w:p w14:paraId="7B882810" w14:textId="77777777" w:rsidR="00792AB3" w:rsidRPr="00792AB3" w:rsidRDefault="00792AB3" w:rsidP="00792AB3">
      <w:pPr>
        <w:rPr>
          <w:b/>
          <w:bCs/>
          <w:color w:val="002C5C"/>
          <w:sz w:val="24"/>
          <w:szCs w:val="24"/>
        </w:rPr>
      </w:pPr>
      <w:r w:rsidRPr="00792AB3">
        <w:rPr>
          <w:b/>
          <w:bCs/>
          <w:color w:val="002C5C"/>
          <w:sz w:val="24"/>
          <w:szCs w:val="24"/>
        </w:rPr>
        <w:t>Edinburgh</w:t>
      </w:r>
    </w:p>
    <w:p w14:paraId="3175EB2B" w14:textId="77777777" w:rsidR="00792AB3" w:rsidRPr="007A310A" w:rsidRDefault="00792AB3" w:rsidP="00792AB3">
      <w:r>
        <w:t xml:space="preserve">Given the CMA's increasing an active presence in Edinburgh, we believe it should be made clear in the Guidance that where the CMA requires a witness to give oral evidence (para 11.23) that attendance could equally be in Edinburgh or London, irrespective of the location of the witness.  Clearly, it would be reasonable to have attendance at convenience to the CMA Inquiry Group but the convenience of witnesses perhaps </w:t>
      </w:r>
      <w:r>
        <w:lastRenderedPageBreak/>
        <w:t>should not be ignored.  Presumably Inquiry Group could sit in Edinburgh where the parties or the markets affected might make that appropriate.</w:t>
      </w:r>
    </w:p>
    <w:p w14:paraId="13CBA61E" w14:textId="77777777" w:rsidR="00792AB3" w:rsidRPr="00792AB3" w:rsidRDefault="00792AB3" w:rsidP="00792AB3">
      <w:pPr>
        <w:rPr>
          <w:b/>
          <w:bCs/>
          <w:color w:val="002C5C"/>
          <w:sz w:val="24"/>
          <w:szCs w:val="24"/>
        </w:rPr>
      </w:pPr>
      <w:r w:rsidRPr="00792AB3">
        <w:rPr>
          <w:b/>
          <w:bCs/>
          <w:color w:val="002C5C"/>
          <w:sz w:val="24"/>
          <w:szCs w:val="24"/>
        </w:rPr>
        <w:t>Devolved Governmental Entities</w:t>
      </w:r>
    </w:p>
    <w:p w14:paraId="06B08A0B" w14:textId="1B9D1ADD" w:rsidR="00792AB3" w:rsidRPr="001B1197" w:rsidRDefault="00792AB3" w:rsidP="00792AB3">
      <w:r w:rsidRPr="001B1197">
        <w:t>The UK devolved entities namely the Scottish Government, Welsh Government and the Northern Ireland administration may have legitimate and important views on particular mergers and whilst, no doubt, the CMA does seek their views, we believe it would be helpful to at least include these important entities in the list of entities which the CMA would contemplate seeking views from in para 9.21. Consumer Scotland would be an additional organisation whose views might actively be sought.</w:t>
      </w:r>
    </w:p>
    <w:p w14:paraId="3DAC83DD" w14:textId="77777777" w:rsidR="00792AB3" w:rsidRPr="007A310A" w:rsidRDefault="00792AB3" w:rsidP="00792AB3">
      <w:r w:rsidRPr="008229E1">
        <w:t>On this point it would be helpful for the CMA2 to indicate any particular considerations arising from the status of Northern Ireland and its markets though admittedly that is likely to be a matter primarily for t</w:t>
      </w:r>
      <w:r>
        <w:t>he merger assessment guidelines.</w:t>
      </w:r>
    </w:p>
    <w:p w14:paraId="1E4B9426" w14:textId="77777777" w:rsidR="00792AB3" w:rsidRPr="007A310A" w:rsidRDefault="00792AB3" w:rsidP="00792AB3">
      <w:pPr>
        <w:pStyle w:val="Level1Heading"/>
        <w:numPr>
          <w:ilvl w:val="0"/>
          <w:numId w:val="0"/>
        </w:numPr>
        <w:ind w:left="720"/>
      </w:pPr>
    </w:p>
    <w:p w14:paraId="547F27A2" w14:textId="77777777" w:rsidR="00792AB3" w:rsidRPr="00B00AAC" w:rsidRDefault="00792AB3" w:rsidP="00792AB3">
      <w:pPr>
        <w:pStyle w:val="Level1Heading"/>
        <w:numPr>
          <w:ilvl w:val="0"/>
          <w:numId w:val="0"/>
        </w:numPr>
        <w:ind w:left="720" w:hanging="720"/>
      </w:pPr>
      <w:r>
        <w:t xml:space="preserve">                                                                                                                                                                                                                                                                                                                                                                                                                                                                                                                                          </w:t>
      </w:r>
    </w:p>
    <w:p w14:paraId="0570F0B6" w14:textId="379255AA" w:rsidR="006D5B67" w:rsidRPr="00BE0328" w:rsidRDefault="00792AB3" w:rsidP="00BE0328">
      <w:pPr>
        <w:pStyle w:val="Level2Number"/>
        <w:numPr>
          <w:ilvl w:val="0"/>
          <w:numId w:val="0"/>
        </w:numPr>
        <w:ind w:left="720"/>
      </w:pPr>
      <w:r w:rsidRPr="00B00AAC">
        <w:t xml:space="preserve">  </w:t>
      </w:r>
      <w:bookmarkStart w:id="0" w:name="_GoBack"/>
      <w:bookmarkEnd w:id="0"/>
    </w:p>
    <w:p w14:paraId="1F55F410" w14:textId="3F80DCE9" w:rsidR="006D5B67" w:rsidRDefault="006D5B67" w:rsidP="00C072F1">
      <w:pPr>
        <w:rPr>
          <w:b/>
          <w:color w:val="002C5C"/>
          <w:sz w:val="26"/>
          <w:szCs w:val="26"/>
        </w:rPr>
      </w:pPr>
    </w:p>
    <w:p w14:paraId="4DA79AFB" w14:textId="31F15BD6" w:rsidR="006D5B67" w:rsidRDefault="006D5B67" w:rsidP="00C072F1">
      <w:pPr>
        <w:rPr>
          <w:b/>
          <w:color w:val="002C5C"/>
          <w:sz w:val="26"/>
          <w:szCs w:val="26"/>
        </w:rPr>
      </w:pPr>
    </w:p>
    <w:p w14:paraId="135CF39E" w14:textId="77777777" w:rsidR="006D5B67" w:rsidRDefault="006D5B67" w:rsidP="00C072F1">
      <w:pPr>
        <w:rPr>
          <w:b/>
          <w:color w:val="002C5C"/>
          <w:sz w:val="26"/>
          <w:szCs w:val="26"/>
        </w:rPr>
      </w:pPr>
    </w:p>
    <w:p w14:paraId="79080E81" w14:textId="77777777" w:rsidR="00A7624E" w:rsidRDefault="00A7624E" w:rsidP="00C072F1">
      <w:pPr>
        <w:rPr>
          <w:b/>
          <w:color w:val="002C5C"/>
          <w:sz w:val="26"/>
          <w:szCs w:val="26"/>
        </w:rPr>
      </w:pPr>
    </w:p>
    <w:p w14:paraId="6E799E16" w14:textId="77777777" w:rsidR="00356208" w:rsidRDefault="00356208" w:rsidP="00356208">
      <w:pPr>
        <w:spacing w:after="0"/>
        <w:jc w:val="right"/>
        <w:rPr>
          <w:b/>
          <w:color w:val="002C5C"/>
        </w:rPr>
      </w:pPr>
      <w:r w:rsidRPr="003624FD">
        <w:rPr>
          <w:b/>
          <w:color w:val="002C5C"/>
        </w:rPr>
        <w:t>For further information, please contact:</w:t>
      </w:r>
    </w:p>
    <w:p w14:paraId="6E799E17" w14:textId="3B5CCEB2" w:rsidR="00356208" w:rsidRDefault="0028561C" w:rsidP="00356208">
      <w:pPr>
        <w:spacing w:after="0"/>
        <w:jc w:val="right"/>
      </w:pPr>
      <w:r>
        <w:t>Carolyn Thurston Smith</w:t>
      </w:r>
    </w:p>
    <w:p w14:paraId="6E799E18" w14:textId="29C49191" w:rsidR="00356208" w:rsidRDefault="00356208" w:rsidP="00356208">
      <w:pPr>
        <w:spacing w:after="0"/>
        <w:jc w:val="right"/>
      </w:pPr>
      <w:r>
        <w:t xml:space="preserve">Policy </w:t>
      </w:r>
      <w:r w:rsidR="002A655F">
        <w:t>Executive</w:t>
      </w:r>
    </w:p>
    <w:p w14:paraId="6E799E19" w14:textId="77777777" w:rsidR="00356208" w:rsidRDefault="00356208" w:rsidP="00356208">
      <w:pPr>
        <w:spacing w:after="0"/>
        <w:jc w:val="right"/>
      </w:pPr>
      <w:r>
        <w:t>Law Society of Scotland</w:t>
      </w:r>
    </w:p>
    <w:p w14:paraId="6E799E1A" w14:textId="2F22903B" w:rsidR="00356208" w:rsidRDefault="00356208" w:rsidP="00356208">
      <w:pPr>
        <w:spacing w:after="0"/>
        <w:jc w:val="right"/>
      </w:pPr>
      <w:r>
        <w:t>DD: 0131</w:t>
      </w:r>
      <w:r w:rsidRPr="002F259B">
        <w:t xml:space="preserve"> 476 8</w:t>
      </w:r>
      <w:r w:rsidR="0028561C">
        <w:t>205</w:t>
      </w:r>
    </w:p>
    <w:p w14:paraId="6E799F2F" w14:textId="6A446A0C" w:rsidR="00356208" w:rsidRDefault="00BE0328" w:rsidP="00C81C1B">
      <w:pPr>
        <w:spacing w:after="0"/>
        <w:jc w:val="right"/>
      </w:pPr>
      <w:hyperlink r:id="rId18" w:history="1">
        <w:r w:rsidR="0028561C" w:rsidRPr="00517F53">
          <w:rPr>
            <w:rStyle w:val="Hyperlink"/>
          </w:rPr>
          <w:t>carolynthurstonsmith@lawscot.org.uk</w:t>
        </w:r>
      </w:hyperlink>
      <w:r w:rsidR="00C81C1B">
        <w:t xml:space="preserve"> </w:t>
      </w:r>
    </w:p>
    <w:p w14:paraId="1EEE5EF0" w14:textId="39BCEAF7" w:rsidR="00E44699" w:rsidRDefault="00E44699" w:rsidP="00C81C1B">
      <w:pPr>
        <w:spacing w:after="0"/>
        <w:jc w:val="right"/>
      </w:pPr>
    </w:p>
    <w:p w14:paraId="05A066EA" w14:textId="77777777" w:rsidR="00E44699" w:rsidRPr="002062F8" w:rsidRDefault="00E44699" w:rsidP="00C81C1B">
      <w:pPr>
        <w:spacing w:after="0"/>
        <w:jc w:val="right"/>
      </w:pPr>
    </w:p>
    <w:sectPr w:rsidR="00E44699" w:rsidRPr="002062F8" w:rsidSect="00C81C1B">
      <w:headerReference w:type="even" r:id="rId19"/>
      <w:headerReference w:type="default" r:id="rId20"/>
      <w:headerReference w:type="first" r:id="rId21"/>
      <w:pgSz w:w="11900" w:h="16840"/>
      <w:pgMar w:top="2268" w:right="737" w:bottom="709" w:left="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0365D" w14:textId="77777777" w:rsidR="006B708F" w:rsidRDefault="006B708F" w:rsidP="004A1254">
      <w:r>
        <w:separator/>
      </w:r>
    </w:p>
    <w:p w14:paraId="1FF2598A" w14:textId="77777777" w:rsidR="006B708F" w:rsidRDefault="006B708F" w:rsidP="004A1254"/>
  </w:endnote>
  <w:endnote w:type="continuationSeparator" w:id="0">
    <w:p w14:paraId="5653460E" w14:textId="77777777" w:rsidR="006B708F" w:rsidRDefault="006B708F" w:rsidP="004A1254">
      <w:r>
        <w:continuationSeparator/>
      </w:r>
    </w:p>
    <w:p w14:paraId="53B35B9B" w14:textId="77777777" w:rsidR="006B708F" w:rsidRDefault="006B708F" w:rsidP="004A1254"/>
  </w:endnote>
  <w:endnote w:type="continuationNotice" w:id="1">
    <w:p w14:paraId="588641B8" w14:textId="77777777" w:rsidR="006B708F" w:rsidRDefault="006B7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8" w14:textId="77777777" w:rsidR="00CB30DE" w:rsidRDefault="00CB30DE"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799F39" w14:textId="77777777" w:rsidR="00CB30DE" w:rsidRDefault="00CB30DE"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A" w14:textId="75BF4178" w:rsidR="00CB30DE" w:rsidRPr="00852EDF" w:rsidRDefault="00CB30DE"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275F99">
      <w:rPr>
        <w:rStyle w:val="PageNumber"/>
        <w:noProof/>
        <w:sz w:val="18"/>
        <w:szCs w:val="18"/>
      </w:rPr>
      <w:t>6</w:t>
    </w:r>
    <w:r w:rsidRPr="00852EDF">
      <w:rPr>
        <w:rStyle w:val="PageNumber"/>
        <w:sz w:val="18"/>
        <w:szCs w:val="18"/>
      </w:rPr>
      <w:fldChar w:fldCharType="end"/>
    </w:r>
  </w:p>
  <w:p w14:paraId="6E799F3B" w14:textId="77777777" w:rsidR="00CB30DE" w:rsidRDefault="00CB30DE"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F211" w14:textId="77777777" w:rsidR="00CB30DE" w:rsidRDefault="00CB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25890" w14:textId="77777777" w:rsidR="006B708F" w:rsidRPr="00ED6246" w:rsidRDefault="006B708F" w:rsidP="00ED6246">
      <w:pPr>
        <w:pStyle w:val="Footer"/>
      </w:pPr>
    </w:p>
  </w:footnote>
  <w:footnote w:type="continuationSeparator" w:id="0">
    <w:p w14:paraId="7F13D922" w14:textId="77777777" w:rsidR="006B708F" w:rsidRDefault="006B708F" w:rsidP="004A1254">
      <w:r>
        <w:continuationSeparator/>
      </w:r>
    </w:p>
  </w:footnote>
  <w:footnote w:type="continuationNotice" w:id="1">
    <w:p w14:paraId="72C7AC82" w14:textId="77777777" w:rsidR="006B708F" w:rsidRPr="00ED6246" w:rsidRDefault="006B708F" w:rsidP="00ED6246">
      <w:pPr>
        <w:pStyle w:val="Footer"/>
      </w:pPr>
    </w:p>
  </w:footnote>
  <w:footnote w:id="2">
    <w:p w14:paraId="42F5BF56" w14:textId="2E8C24F9" w:rsidR="0028561C" w:rsidRPr="0028561C" w:rsidRDefault="0028561C">
      <w:pPr>
        <w:pStyle w:val="FootnoteText"/>
        <w:rPr>
          <w:sz w:val="20"/>
          <w:szCs w:val="20"/>
          <w:lang w:val="en-US"/>
        </w:rPr>
      </w:pPr>
      <w:r w:rsidRPr="0028561C">
        <w:rPr>
          <w:rStyle w:val="FootnoteReference"/>
          <w:sz w:val="20"/>
          <w:szCs w:val="20"/>
        </w:rPr>
        <w:footnoteRef/>
      </w:r>
      <w:r w:rsidRPr="0028561C">
        <w:rPr>
          <w:sz w:val="20"/>
          <w:szCs w:val="20"/>
        </w:rPr>
        <w:t xml:space="preserve"> </w:t>
      </w:r>
      <w:hyperlink r:id="rId1" w:history="1">
        <w:r w:rsidR="00792AB3" w:rsidRPr="002723F7">
          <w:rPr>
            <w:rStyle w:val="Hyperlink"/>
            <w:sz w:val="20"/>
            <w:szCs w:val="20"/>
          </w:rPr>
          <w:t>https://www.gov.uk/government/consultations/updates-to-the-cmas-mergers-procedural-guidelines-cma2-and-cma56</w:t>
        </w:r>
      </w:hyperlink>
      <w:r w:rsidR="00792AB3">
        <w:rPr>
          <w:sz w:val="20"/>
          <w:szCs w:val="20"/>
        </w:rPr>
        <w:t xml:space="preserve"> </w:t>
      </w:r>
    </w:p>
  </w:footnote>
  <w:footnote w:id="3">
    <w:p w14:paraId="2290E1D2" w14:textId="1FDC221B" w:rsidR="00792AB3" w:rsidRPr="00792AB3" w:rsidRDefault="00792AB3">
      <w:pPr>
        <w:pStyle w:val="FootnoteText"/>
        <w:rPr>
          <w:lang w:val="en-US"/>
        </w:rPr>
      </w:pPr>
      <w:r>
        <w:rPr>
          <w:rStyle w:val="FootnoteReference"/>
        </w:rPr>
        <w:footnoteRef/>
      </w:r>
      <w:r>
        <w:t xml:space="preserve"> </w:t>
      </w:r>
      <w:r w:rsidRPr="00792AB3">
        <w:rPr>
          <w:i/>
          <w:iCs/>
          <w:sz w:val="20"/>
          <w:szCs w:val="20"/>
        </w:rPr>
        <w:t>Soci</w:t>
      </w:r>
      <w:r w:rsidRPr="00792AB3">
        <w:rPr>
          <w:rFonts w:cstheme="minorHAnsi"/>
          <w:i/>
          <w:iCs/>
          <w:sz w:val="20"/>
          <w:szCs w:val="20"/>
        </w:rPr>
        <w:t>é</w:t>
      </w:r>
      <w:r w:rsidRPr="00792AB3">
        <w:rPr>
          <w:i/>
          <w:iCs/>
          <w:sz w:val="20"/>
          <w:szCs w:val="20"/>
        </w:rPr>
        <w:t>t</w:t>
      </w:r>
      <w:r w:rsidRPr="00792AB3">
        <w:rPr>
          <w:rFonts w:cstheme="minorHAnsi"/>
          <w:i/>
          <w:iCs/>
          <w:sz w:val="20"/>
          <w:szCs w:val="20"/>
        </w:rPr>
        <w:t>é</w:t>
      </w:r>
      <w:r w:rsidRPr="00792AB3">
        <w:rPr>
          <w:i/>
          <w:iCs/>
          <w:sz w:val="20"/>
          <w:szCs w:val="20"/>
        </w:rPr>
        <w:t xml:space="preserve"> Cooperative de Production </w:t>
      </w:r>
      <w:proofErr w:type="spellStart"/>
      <w:r w:rsidRPr="00792AB3">
        <w:rPr>
          <w:i/>
          <w:iCs/>
          <w:sz w:val="20"/>
          <w:szCs w:val="20"/>
        </w:rPr>
        <w:t>Seafrance</w:t>
      </w:r>
      <w:proofErr w:type="spellEnd"/>
      <w:r w:rsidRPr="00792AB3">
        <w:rPr>
          <w:i/>
          <w:iCs/>
          <w:sz w:val="20"/>
          <w:szCs w:val="20"/>
        </w:rPr>
        <w:t xml:space="preserve"> SA (Respondent) v The Competition and Markets Authority and another (Appellants)</w:t>
      </w:r>
      <w:r w:rsidRPr="00792AB3">
        <w:rPr>
          <w:sz w:val="20"/>
          <w:szCs w:val="20"/>
        </w:rPr>
        <w:t xml:space="preserve"> [2015] UKSC 75, paragraph 39.</w:t>
      </w:r>
    </w:p>
  </w:footnote>
  <w:footnote w:id="4">
    <w:p w14:paraId="0559FFA2" w14:textId="079C3BDB" w:rsidR="006D5B67" w:rsidRPr="006D5B67" w:rsidRDefault="006D5B67">
      <w:pPr>
        <w:pStyle w:val="FootnoteText"/>
        <w:rPr>
          <w:lang w:val="en-US"/>
        </w:rPr>
      </w:pPr>
      <w:r>
        <w:rPr>
          <w:rStyle w:val="FootnoteReference"/>
        </w:rPr>
        <w:footnoteRef/>
      </w:r>
      <w:r>
        <w:t xml:space="preserve"> </w:t>
      </w:r>
      <w:r w:rsidRPr="00792AB3">
        <w:rPr>
          <w:sz w:val="20"/>
          <w:szCs w:val="20"/>
        </w:rPr>
        <w:t>CMA2con, paragraphs 11.12 and 11.13.</w:t>
      </w:r>
    </w:p>
  </w:footnote>
  <w:footnote w:id="5">
    <w:p w14:paraId="2F9B7087" w14:textId="734D6E75" w:rsidR="006D5B67" w:rsidRPr="006D5B67" w:rsidRDefault="006D5B67">
      <w:pPr>
        <w:pStyle w:val="FootnoteText"/>
        <w:rPr>
          <w:lang w:val="en-US"/>
        </w:rPr>
      </w:pPr>
      <w:r>
        <w:rPr>
          <w:rStyle w:val="FootnoteReference"/>
        </w:rPr>
        <w:footnoteRef/>
      </w:r>
      <w:r>
        <w:t xml:space="preserve"> </w:t>
      </w:r>
      <w:r w:rsidRPr="00792AB3">
        <w:rPr>
          <w:sz w:val="20"/>
          <w:szCs w:val="20"/>
        </w:rPr>
        <w:t>CMA2con, paragraphs 12.2 and 12.3.</w:t>
      </w:r>
    </w:p>
  </w:footnote>
  <w:footnote w:id="6">
    <w:p w14:paraId="4A163EFE" w14:textId="17C6D1F5" w:rsidR="006D5B67" w:rsidRPr="006D5B67" w:rsidRDefault="006D5B67">
      <w:pPr>
        <w:pStyle w:val="FootnoteText"/>
        <w:rPr>
          <w:lang w:val="en-US"/>
        </w:rPr>
      </w:pPr>
      <w:r>
        <w:rPr>
          <w:rStyle w:val="FootnoteReference"/>
        </w:rPr>
        <w:footnoteRef/>
      </w:r>
      <w:r>
        <w:t xml:space="preserve"> </w:t>
      </w:r>
      <w:r>
        <w:rPr>
          <w:sz w:val="20"/>
          <w:szCs w:val="20"/>
        </w:rPr>
        <w:t xml:space="preserve">Clause </w:t>
      </w:r>
      <w:r w:rsidRPr="00792AB3">
        <w:rPr>
          <w:sz w:val="20"/>
          <w:szCs w:val="20"/>
        </w:rPr>
        <w:t xml:space="preserve">31 National Security and Investment Bill (210 2019-21, as introduced) and </w:t>
      </w:r>
      <w:r w:rsidRPr="00792AB3">
        <w:rPr>
          <w:i/>
          <w:iCs/>
          <w:sz w:val="20"/>
          <w:szCs w:val="20"/>
        </w:rPr>
        <w:t>Memorandum from the Department for Business, Energy and Industrial Strategy to the Delegated Powers and Regulatory Reform Committee</w:t>
      </w:r>
      <w:r w:rsidRPr="00792AB3">
        <w:rPr>
          <w:sz w:val="20"/>
          <w:szCs w:val="20"/>
        </w:rPr>
        <w:t>, 10 November 2020, paragraphs 44-48.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1B6F" w14:textId="5EB9ABBA" w:rsidR="00CB30DE" w:rsidRDefault="00CB3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7" w14:textId="13FDF961" w:rsidR="00CB30DE" w:rsidRDefault="00CB30DE" w:rsidP="004A1254">
    <w:pPr>
      <w:pStyle w:val="Header"/>
    </w:pPr>
    <w:r>
      <w:rPr>
        <w:noProof/>
        <w:lang w:eastAsia="en-GB"/>
      </w:rPr>
      <w:drawing>
        <wp:anchor distT="0" distB="0" distL="114300" distR="114300" simplePos="0" relativeHeight="251658240" behindDoc="1" locked="0" layoutInCell="1" allowOverlap="1" wp14:anchorId="6E799F3F" wp14:editId="6E799F40">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C" w14:textId="700A85BE" w:rsidR="00CB30DE" w:rsidRPr="0025503C" w:rsidRDefault="00CB30DE" w:rsidP="004A1254">
    <w:pPr>
      <w:pStyle w:val="Header"/>
    </w:pPr>
    <w:r>
      <w:rPr>
        <w:noProof/>
        <w:lang w:eastAsia="en-GB"/>
      </w:rPr>
      <w:drawing>
        <wp:anchor distT="0" distB="0" distL="114300" distR="114300" simplePos="0" relativeHeight="251658241" behindDoc="1" locked="0" layoutInCell="1" allowOverlap="1" wp14:anchorId="6E799F41" wp14:editId="6E799F42">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12DEC" w14:textId="7D45FC34" w:rsidR="00CB30DE" w:rsidRDefault="00CB30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E" w14:textId="00E956DF" w:rsidR="00CB30DE" w:rsidRPr="00356208" w:rsidRDefault="00CB30DE" w:rsidP="00356208">
    <w:pPr>
      <w:pStyle w:val="Header"/>
    </w:pPr>
    <w:r>
      <w:rPr>
        <w:noProof/>
        <w:lang w:eastAsia="en-GB"/>
      </w:rPr>
      <w:drawing>
        <wp:anchor distT="0" distB="0" distL="114300" distR="114300" simplePos="0" relativeHeight="251658242" behindDoc="1" locked="0" layoutInCell="1" allowOverlap="1" wp14:anchorId="66DD9FCB" wp14:editId="645675FF">
          <wp:simplePos x="0" y="0"/>
          <wp:positionH relativeFrom="page">
            <wp:posOffset>140970</wp:posOffset>
          </wp:positionH>
          <wp:positionV relativeFrom="page">
            <wp:posOffset>297180</wp:posOffset>
          </wp:positionV>
          <wp:extent cx="7200000" cy="7403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4140" w14:textId="1154CCEB" w:rsidR="00CB30DE" w:rsidRDefault="00CB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085438"/>
    <w:multiLevelType w:val="hybridMultilevel"/>
    <w:tmpl w:val="49247D8C"/>
    <w:lvl w:ilvl="0" w:tplc="CF881424">
      <w:numFmt w:val="bullet"/>
      <w:lvlText w:val="•"/>
      <w:lvlJc w:val="left"/>
      <w:pPr>
        <w:ind w:left="1440" w:hanging="720"/>
      </w:pPr>
      <w:rPr>
        <w:rFonts w:ascii="Arial" w:eastAsiaTheme="minorEastAsia" w:hAnsi="Arial"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4322347"/>
    <w:multiLevelType w:val="hybridMultilevel"/>
    <w:tmpl w:val="5A8E7520"/>
    <w:lvl w:ilvl="0" w:tplc="11EAC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846F5F"/>
    <w:multiLevelType w:val="hybridMultilevel"/>
    <w:tmpl w:val="D8A6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280E6E"/>
    <w:multiLevelType w:val="hybridMultilevel"/>
    <w:tmpl w:val="5700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C22222"/>
    <w:multiLevelType w:val="hybridMultilevel"/>
    <w:tmpl w:val="4A1217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0EB277F4"/>
    <w:multiLevelType w:val="hybridMultilevel"/>
    <w:tmpl w:val="4AF0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62EA"/>
    <w:multiLevelType w:val="hybridMultilevel"/>
    <w:tmpl w:val="307A06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438C7"/>
    <w:multiLevelType w:val="hybridMultilevel"/>
    <w:tmpl w:val="F832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E5378E"/>
    <w:multiLevelType w:val="hybridMultilevel"/>
    <w:tmpl w:val="0E54EB16"/>
    <w:lvl w:ilvl="0" w:tplc="5AF034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ABB2AD1"/>
    <w:multiLevelType w:val="hybridMultilevel"/>
    <w:tmpl w:val="BE5A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DAD3575"/>
    <w:multiLevelType w:val="multilevel"/>
    <w:tmpl w:val="2A984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693487"/>
    <w:multiLevelType w:val="hybridMultilevel"/>
    <w:tmpl w:val="2BA0134C"/>
    <w:lvl w:ilvl="0" w:tplc="CF881424">
      <w:numFmt w:val="bullet"/>
      <w:lvlText w:val="•"/>
      <w:lvlJc w:val="left"/>
      <w:pPr>
        <w:ind w:left="1080" w:hanging="720"/>
      </w:pPr>
      <w:rPr>
        <w:rFonts w:ascii="Arial" w:eastAsiaTheme="minorEastAsia"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3C077F"/>
    <w:multiLevelType w:val="hybridMultilevel"/>
    <w:tmpl w:val="6EA642B6"/>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2871DD"/>
    <w:multiLevelType w:val="multilevel"/>
    <w:tmpl w:val="FBB86332"/>
    <w:lvl w:ilvl="0">
      <w:start w:val="1"/>
      <w:numFmt w:val="decimal"/>
      <w:pStyle w:val="ASNumberedLevel1"/>
      <w:lvlText w:val="%1."/>
      <w:lvlJc w:val="left"/>
      <w:pPr>
        <w:ind w:left="340" w:hanging="340"/>
      </w:pPr>
      <w:rPr>
        <w:rFonts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NumberedLevel2"/>
      <w:lvlText w:val="%1.%2."/>
      <w:lvlJc w:val="left"/>
      <w:pPr>
        <w:ind w:left="454" w:hanging="454"/>
      </w:pPr>
      <w:rPr>
        <w:rFonts w:hint="default"/>
        <w:b w:val="0"/>
        <w:bCs w:val="0"/>
        <w:i w:val="0"/>
        <w:iCs w:val="0"/>
        <w:color w:val="auto"/>
        <w:sz w:val="22"/>
        <w:szCs w:val="22"/>
      </w:rPr>
    </w:lvl>
    <w:lvl w:ilvl="2">
      <w:start w:val="1"/>
      <w:numFmt w:val="decimal"/>
      <w:pStyle w:val="ASNumberedLevel3"/>
      <w:lvlText w:val="%1.%2.%3."/>
      <w:lvlJc w:val="left"/>
      <w:pPr>
        <w:ind w:left="680" w:hanging="226"/>
      </w:pPr>
      <w:rPr>
        <w:rFonts w:hint="default"/>
        <w:b w:val="0"/>
        <w:bCs w:val="0"/>
        <w:i w:val="0"/>
        <w:iCs w:val="0"/>
        <w:color w:val="auto"/>
        <w:sz w:val="22"/>
        <w:szCs w:val="22"/>
      </w:rPr>
    </w:lvl>
    <w:lvl w:ilvl="3">
      <w:start w:val="1"/>
      <w:numFmt w:val="decimal"/>
      <w:pStyle w:val="ASNumberedLevel4"/>
      <w:lvlText w:val="%1.%2.%3.%4."/>
      <w:lvlJc w:val="left"/>
      <w:pPr>
        <w:ind w:left="1728" w:hanging="648"/>
      </w:pPr>
      <w:rPr>
        <w:rFonts w:hint="default"/>
      </w:rPr>
    </w:lvl>
    <w:lvl w:ilvl="4">
      <w:start w:val="1"/>
      <w:numFmt w:val="decimal"/>
      <w:pStyle w:val="ASNumbered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B9C482E"/>
    <w:multiLevelType w:val="hybridMultilevel"/>
    <w:tmpl w:val="024437BA"/>
    <w:lvl w:ilvl="0" w:tplc="7930BD76">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D07AFB"/>
    <w:multiLevelType w:val="hybridMultilevel"/>
    <w:tmpl w:val="63B4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1257EF"/>
    <w:multiLevelType w:val="hybridMultilevel"/>
    <w:tmpl w:val="6D1EA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EC6C55"/>
    <w:multiLevelType w:val="multilevel"/>
    <w:tmpl w:val="878EE6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2F7C7509"/>
    <w:multiLevelType w:val="hybridMultilevel"/>
    <w:tmpl w:val="BB509384"/>
    <w:lvl w:ilvl="0" w:tplc="A872A0AC">
      <w:start w:val="1"/>
      <w:numFmt w:val="lowerLetter"/>
      <w:lvlText w:val="(%1)"/>
      <w:lvlJc w:val="left"/>
      <w:pPr>
        <w:ind w:left="1440" w:hanging="360"/>
      </w:pPr>
      <w:rPr>
        <w:rFonts w:hint="default"/>
        <w:b w:val="0"/>
        <w:bCs w:val="0"/>
        <w:i w:val="0"/>
        <w:iCs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5F5EA8"/>
    <w:multiLevelType w:val="hybridMultilevel"/>
    <w:tmpl w:val="1D8AB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E075665"/>
    <w:multiLevelType w:val="hybridMultilevel"/>
    <w:tmpl w:val="9ADE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226B8E"/>
    <w:multiLevelType w:val="multilevel"/>
    <w:tmpl w:val="934E8058"/>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38" w15:restartNumberingAfterBreak="0">
    <w:nsid w:val="431B28FE"/>
    <w:multiLevelType w:val="hybridMultilevel"/>
    <w:tmpl w:val="A75A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316B6A"/>
    <w:multiLevelType w:val="hybridMultilevel"/>
    <w:tmpl w:val="0438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611BA4"/>
    <w:multiLevelType w:val="hybridMultilevel"/>
    <w:tmpl w:val="06820820"/>
    <w:lvl w:ilvl="0" w:tplc="2F2E808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0B01D5"/>
    <w:multiLevelType w:val="hybridMultilevel"/>
    <w:tmpl w:val="FC7EF4DA"/>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42" w15:restartNumberingAfterBreak="0">
    <w:nsid w:val="47CA4E22"/>
    <w:multiLevelType w:val="hybridMultilevel"/>
    <w:tmpl w:val="92FE945C"/>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643B04"/>
    <w:multiLevelType w:val="hybridMultilevel"/>
    <w:tmpl w:val="8DAEE6F4"/>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4012AA"/>
    <w:multiLevelType w:val="hybridMultilevel"/>
    <w:tmpl w:val="819C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C03E96"/>
    <w:multiLevelType w:val="hybridMultilevel"/>
    <w:tmpl w:val="AEB86A3C"/>
    <w:lvl w:ilvl="0" w:tplc="380A6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6AA61C1"/>
    <w:multiLevelType w:val="hybridMultilevel"/>
    <w:tmpl w:val="47003936"/>
    <w:lvl w:ilvl="0" w:tplc="35602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892983"/>
    <w:multiLevelType w:val="hybridMultilevel"/>
    <w:tmpl w:val="7B7E31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8" w15:restartNumberingAfterBreak="0">
    <w:nsid w:val="6D3D1DB7"/>
    <w:multiLevelType w:val="hybridMultilevel"/>
    <w:tmpl w:val="B6BCF8D4"/>
    <w:lvl w:ilvl="0" w:tplc="C82CDB14">
      <w:start w:val="1"/>
      <w:numFmt w:val="decimal"/>
      <w:lvlText w:val="[%1]"/>
      <w:lvlJc w:val="left"/>
      <w:pPr>
        <w:ind w:left="720" w:hanging="360"/>
      </w:pPr>
      <w:rPr>
        <w:rFonts w:hint="default"/>
        <w:b w:val="0"/>
      </w:rPr>
    </w:lvl>
    <w:lvl w:ilvl="1" w:tplc="A30A65BA">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DD7589"/>
    <w:multiLevelType w:val="multilevel"/>
    <w:tmpl w:val="A198B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942284"/>
    <w:multiLevelType w:val="hybridMultilevel"/>
    <w:tmpl w:val="C9E6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AB0DAE"/>
    <w:multiLevelType w:val="hybridMultilevel"/>
    <w:tmpl w:val="B90201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71406972"/>
    <w:multiLevelType w:val="hybridMultilevel"/>
    <w:tmpl w:val="FD6A74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5477A6"/>
    <w:multiLevelType w:val="hybridMultilevel"/>
    <w:tmpl w:val="4CA49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A21FEE"/>
    <w:multiLevelType w:val="hybridMultilevel"/>
    <w:tmpl w:val="B552A416"/>
    <w:lvl w:ilvl="0" w:tplc="619870D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476F32"/>
    <w:multiLevelType w:val="hybridMultilevel"/>
    <w:tmpl w:val="4832F546"/>
    <w:lvl w:ilvl="0" w:tplc="CF881424">
      <w:numFmt w:val="bullet"/>
      <w:lvlText w:val="•"/>
      <w:lvlJc w:val="left"/>
      <w:pPr>
        <w:ind w:left="1440" w:hanging="720"/>
      </w:pPr>
      <w:rPr>
        <w:rFonts w:ascii="Arial" w:eastAsiaTheme="minorEastAsia" w:hAnsi="Arial"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EB40F81"/>
    <w:multiLevelType w:val="hybridMultilevel"/>
    <w:tmpl w:val="DB2A770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8"/>
  </w:num>
  <w:num w:numId="4">
    <w:abstractNumId w:val="7"/>
  </w:num>
  <w:num w:numId="5">
    <w:abstractNumId w:val="6"/>
  </w:num>
  <w:num w:numId="6">
    <w:abstractNumId w:val="5"/>
  </w:num>
  <w:num w:numId="7">
    <w:abstractNumId w:val="13"/>
  </w:num>
  <w:num w:numId="8">
    <w:abstractNumId w:val="9"/>
  </w:num>
  <w:num w:numId="9">
    <w:abstractNumId w:val="4"/>
  </w:num>
  <w:num w:numId="10">
    <w:abstractNumId w:val="3"/>
  </w:num>
  <w:num w:numId="11">
    <w:abstractNumId w:val="2"/>
  </w:num>
  <w:num w:numId="12">
    <w:abstractNumId w:val="1"/>
  </w:num>
  <w:num w:numId="13">
    <w:abstractNumId w:val="0"/>
  </w:num>
  <w:num w:numId="14">
    <w:abstractNumId w:val="26"/>
  </w:num>
  <w:num w:numId="15">
    <w:abstractNumId w:val="23"/>
  </w:num>
  <w:num w:numId="16">
    <w:abstractNumId w:val="56"/>
  </w:num>
  <w:num w:numId="17">
    <w:abstractNumId w:val="3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47"/>
  </w:num>
  <w:num w:numId="21">
    <w:abstractNumId w:val="50"/>
  </w:num>
  <w:num w:numId="22">
    <w:abstractNumId w:val="23"/>
  </w:num>
  <w:num w:numId="23">
    <w:abstractNumId w:val="16"/>
  </w:num>
  <w:num w:numId="24">
    <w:abstractNumId w:val="33"/>
  </w:num>
  <w:num w:numId="25">
    <w:abstractNumId w:val="28"/>
  </w:num>
  <w:num w:numId="26">
    <w:abstractNumId w:val="24"/>
  </w:num>
  <w:num w:numId="27">
    <w:abstractNumId w:val="49"/>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1"/>
  </w:num>
  <w:num w:numId="31">
    <w:abstractNumId w:val="30"/>
  </w:num>
  <w:num w:numId="32">
    <w:abstractNumId w:val="40"/>
  </w:num>
  <w:num w:numId="33">
    <w:abstractNumId w:val="57"/>
  </w:num>
  <w:num w:numId="34">
    <w:abstractNumId w:val="51"/>
  </w:num>
  <w:num w:numId="35">
    <w:abstractNumId w:val="18"/>
  </w:num>
  <w:num w:numId="36">
    <w:abstractNumId w:val="39"/>
  </w:num>
  <w:num w:numId="37">
    <w:abstractNumId w:val="42"/>
  </w:num>
  <w:num w:numId="38">
    <w:abstractNumId w:val="43"/>
  </w:num>
  <w:num w:numId="39">
    <w:abstractNumId w:val="52"/>
  </w:num>
  <w:num w:numId="40">
    <w:abstractNumId w:val="38"/>
  </w:num>
  <w:num w:numId="41">
    <w:abstractNumId w:val="54"/>
  </w:num>
  <w:num w:numId="42">
    <w:abstractNumId w:val="27"/>
  </w:num>
  <w:num w:numId="43">
    <w:abstractNumId w:val="25"/>
  </w:num>
  <w:num w:numId="44">
    <w:abstractNumId w:val="11"/>
  </w:num>
  <w:num w:numId="45">
    <w:abstractNumId w:val="55"/>
  </w:num>
  <w:num w:numId="46">
    <w:abstractNumId w:val="44"/>
  </w:num>
  <w:num w:numId="47">
    <w:abstractNumId w:val="20"/>
  </w:num>
  <w:num w:numId="48">
    <w:abstractNumId w:val="41"/>
  </w:num>
  <w:num w:numId="49">
    <w:abstractNumId w:val="14"/>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53"/>
  </w:num>
  <w:num w:numId="53">
    <w:abstractNumId w:val="31"/>
  </w:num>
  <w:num w:numId="54">
    <w:abstractNumId w:val="22"/>
  </w:num>
  <w:num w:numId="55">
    <w:abstractNumId w:val="29"/>
  </w:num>
  <w:num w:numId="56">
    <w:abstractNumId w:val="45"/>
  </w:num>
  <w:num w:numId="57">
    <w:abstractNumId w:val="46"/>
  </w:num>
  <w:num w:numId="58">
    <w:abstractNumId w:val="15"/>
  </w:num>
  <w:num w:numId="59">
    <w:abstractNumId w:val="36"/>
  </w:num>
  <w:num w:numId="60">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85"/>
    <w:rsid w:val="00001109"/>
    <w:rsid w:val="00002686"/>
    <w:rsid w:val="00005676"/>
    <w:rsid w:val="00007D81"/>
    <w:rsid w:val="0001221E"/>
    <w:rsid w:val="0001478A"/>
    <w:rsid w:val="00014E20"/>
    <w:rsid w:val="00021693"/>
    <w:rsid w:val="00027698"/>
    <w:rsid w:val="00032341"/>
    <w:rsid w:val="00041DA5"/>
    <w:rsid w:val="00045D3C"/>
    <w:rsid w:val="000466A5"/>
    <w:rsid w:val="00047428"/>
    <w:rsid w:val="0005082B"/>
    <w:rsid w:val="00051772"/>
    <w:rsid w:val="00054651"/>
    <w:rsid w:val="00054BB2"/>
    <w:rsid w:val="00056067"/>
    <w:rsid w:val="00056E34"/>
    <w:rsid w:val="00061620"/>
    <w:rsid w:val="00064395"/>
    <w:rsid w:val="00064A99"/>
    <w:rsid w:val="000672A2"/>
    <w:rsid w:val="00073AA3"/>
    <w:rsid w:val="00074197"/>
    <w:rsid w:val="0007592C"/>
    <w:rsid w:val="00076E80"/>
    <w:rsid w:val="00076FDA"/>
    <w:rsid w:val="00077E5E"/>
    <w:rsid w:val="00082089"/>
    <w:rsid w:val="00082337"/>
    <w:rsid w:val="000826C1"/>
    <w:rsid w:val="00083295"/>
    <w:rsid w:val="000835B5"/>
    <w:rsid w:val="0008366B"/>
    <w:rsid w:val="00094494"/>
    <w:rsid w:val="00094682"/>
    <w:rsid w:val="00095406"/>
    <w:rsid w:val="00095D94"/>
    <w:rsid w:val="000971F1"/>
    <w:rsid w:val="00097B90"/>
    <w:rsid w:val="00097DBA"/>
    <w:rsid w:val="000A50E5"/>
    <w:rsid w:val="000A7C1D"/>
    <w:rsid w:val="000B2C6F"/>
    <w:rsid w:val="000B3304"/>
    <w:rsid w:val="000C40FF"/>
    <w:rsid w:val="000C62A2"/>
    <w:rsid w:val="000D1439"/>
    <w:rsid w:val="000D215E"/>
    <w:rsid w:val="000D230F"/>
    <w:rsid w:val="000D5589"/>
    <w:rsid w:val="000D5756"/>
    <w:rsid w:val="000E2262"/>
    <w:rsid w:val="000E273C"/>
    <w:rsid w:val="000F016A"/>
    <w:rsid w:val="000F0F37"/>
    <w:rsid w:val="000F51C4"/>
    <w:rsid w:val="000F5C0C"/>
    <w:rsid w:val="000F7B90"/>
    <w:rsid w:val="001009BF"/>
    <w:rsid w:val="001017B0"/>
    <w:rsid w:val="001048DC"/>
    <w:rsid w:val="00104C4D"/>
    <w:rsid w:val="00105A86"/>
    <w:rsid w:val="001061E4"/>
    <w:rsid w:val="001078B7"/>
    <w:rsid w:val="00115A9C"/>
    <w:rsid w:val="001218EA"/>
    <w:rsid w:val="00123E9F"/>
    <w:rsid w:val="0012511A"/>
    <w:rsid w:val="0012755A"/>
    <w:rsid w:val="00130905"/>
    <w:rsid w:val="00131107"/>
    <w:rsid w:val="00131296"/>
    <w:rsid w:val="0013143B"/>
    <w:rsid w:val="0013325B"/>
    <w:rsid w:val="0013491D"/>
    <w:rsid w:val="001352E4"/>
    <w:rsid w:val="0013702F"/>
    <w:rsid w:val="001373B6"/>
    <w:rsid w:val="00142189"/>
    <w:rsid w:val="00147104"/>
    <w:rsid w:val="0014723D"/>
    <w:rsid w:val="00150A2C"/>
    <w:rsid w:val="001528A6"/>
    <w:rsid w:val="00153F52"/>
    <w:rsid w:val="00155315"/>
    <w:rsid w:val="00155EFA"/>
    <w:rsid w:val="001568EB"/>
    <w:rsid w:val="001602DC"/>
    <w:rsid w:val="00162AB3"/>
    <w:rsid w:val="00163A75"/>
    <w:rsid w:val="00163C6A"/>
    <w:rsid w:val="00163F6F"/>
    <w:rsid w:val="001643DE"/>
    <w:rsid w:val="00164902"/>
    <w:rsid w:val="00166797"/>
    <w:rsid w:val="00167DB1"/>
    <w:rsid w:val="001708CA"/>
    <w:rsid w:val="00171C44"/>
    <w:rsid w:val="00172508"/>
    <w:rsid w:val="0017313C"/>
    <w:rsid w:val="0017329F"/>
    <w:rsid w:val="001819E4"/>
    <w:rsid w:val="00187FF4"/>
    <w:rsid w:val="00190331"/>
    <w:rsid w:val="001906E0"/>
    <w:rsid w:val="00192887"/>
    <w:rsid w:val="00196039"/>
    <w:rsid w:val="001960F0"/>
    <w:rsid w:val="001A19DE"/>
    <w:rsid w:val="001A24B1"/>
    <w:rsid w:val="001A2618"/>
    <w:rsid w:val="001A2C62"/>
    <w:rsid w:val="001B0B9C"/>
    <w:rsid w:val="001B0D84"/>
    <w:rsid w:val="001C1ED9"/>
    <w:rsid w:val="001C7E06"/>
    <w:rsid w:val="001D7F60"/>
    <w:rsid w:val="001E55F7"/>
    <w:rsid w:val="001E5BE1"/>
    <w:rsid w:val="001E67DB"/>
    <w:rsid w:val="001E6843"/>
    <w:rsid w:val="001F0504"/>
    <w:rsid w:val="001F47EC"/>
    <w:rsid w:val="001F4F17"/>
    <w:rsid w:val="001F7228"/>
    <w:rsid w:val="0020426D"/>
    <w:rsid w:val="00204894"/>
    <w:rsid w:val="00204C09"/>
    <w:rsid w:val="00205EE8"/>
    <w:rsid w:val="002062F8"/>
    <w:rsid w:val="002077EA"/>
    <w:rsid w:val="00214A3C"/>
    <w:rsid w:val="00217EAA"/>
    <w:rsid w:val="002214B3"/>
    <w:rsid w:val="002216EB"/>
    <w:rsid w:val="00222D2E"/>
    <w:rsid w:val="00225C1A"/>
    <w:rsid w:val="002272E0"/>
    <w:rsid w:val="00227F86"/>
    <w:rsid w:val="002316A2"/>
    <w:rsid w:val="00241CD6"/>
    <w:rsid w:val="00241D08"/>
    <w:rsid w:val="00243E2B"/>
    <w:rsid w:val="002462D5"/>
    <w:rsid w:val="00254224"/>
    <w:rsid w:val="0025433B"/>
    <w:rsid w:val="00254F58"/>
    <w:rsid w:val="0025503C"/>
    <w:rsid w:val="00256EAC"/>
    <w:rsid w:val="002651B3"/>
    <w:rsid w:val="00266292"/>
    <w:rsid w:val="00267974"/>
    <w:rsid w:val="00267CC9"/>
    <w:rsid w:val="00270688"/>
    <w:rsid w:val="00274194"/>
    <w:rsid w:val="00275F99"/>
    <w:rsid w:val="002809AA"/>
    <w:rsid w:val="00280AED"/>
    <w:rsid w:val="002844C5"/>
    <w:rsid w:val="0028561C"/>
    <w:rsid w:val="00290CE0"/>
    <w:rsid w:val="002947CC"/>
    <w:rsid w:val="0029719C"/>
    <w:rsid w:val="002A01F4"/>
    <w:rsid w:val="002A342D"/>
    <w:rsid w:val="002A45A3"/>
    <w:rsid w:val="002A655F"/>
    <w:rsid w:val="002A7F05"/>
    <w:rsid w:val="002B052A"/>
    <w:rsid w:val="002B1245"/>
    <w:rsid w:val="002B563B"/>
    <w:rsid w:val="002B5965"/>
    <w:rsid w:val="002B6F0B"/>
    <w:rsid w:val="002B700F"/>
    <w:rsid w:val="002C1514"/>
    <w:rsid w:val="002C248E"/>
    <w:rsid w:val="002C3768"/>
    <w:rsid w:val="002C6686"/>
    <w:rsid w:val="002C67E8"/>
    <w:rsid w:val="002C72FD"/>
    <w:rsid w:val="002D1758"/>
    <w:rsid w:val="002D1C30"/>
    <w:rsid w:val="002D2DF0"/>
    <w:rsid w:val="002D5857"/>
    <w:rsid w:val="002E0245"/>
    <w:rsid w:val="002E101E"/>
    <w:rsid w:val="002E1BBF"/>
    <w:rsid w:val="002F236A"/>
    <w:rsid w:val="002F259B"/>
    <w:rsid w:val="002F2A06"/>
    <w:rsid w:val="002F4256"/>
    <w:rsid w:val="002F4DE3"/>
    <w:rsid w:val="002F58FD"/>
    <w:rsid w:val="002F6460"/>
    <w:rsid w:val="00300FDA"/>
    <w:rsid w:val="003048C2"/>
    <w:rsid w:val="00310451"/>
    <w:rsid w:val="003120FE"/>
    <w:rsid w:val="00313D34"/>
    <w:rsid w:val="003158F2"/>
    <w:rsid w:val="00317AEE"/>
    <w:rsid w:val="00322FE7"/>
    <w:rsid w:val="00324496"/>
    <w:rsid w:val="00324597"/>
    <w:rsid w:val="00327F04"/>
    <w:rsid w:val="0033265E"/>
    <w:rsid w:val="00332BE3"/>
    <w:rsid w:val="00343246"/>
    <w:rsid w:val="00343A77"/>
    <w:rsid w:val="00346E62"/>
    <w:rsid w:val="003473E4"/>
    <w:rsid w:val="003554AE"/>
    <w:rsid w:val="00355595"/>
    <w:rsid w:val="00356208"/>
    <w:rsid w:val="00360EC9"/>
    <w:rsid w:val="003614D4"/>
    <w:rsid w:val="003624FD"/>
    <w:rsid w:val="00362B40"/>
    <w:rsid w:val="00362C71"/>
    <w:rsid w:val="003637D8"/>
    <w:rsid w:val="00365C4E"/>
    <w:rsid w:val="003670D1"/>
    <w:rsid w:val="0037014F"/>
    <w:rsid w:val="003752D7"/>
    <w:rsid w:val="003765BB"/>
    <w:rsid w:val="0037760A"/>
    <w:rsid w:val="003817C4"/>
    <w:rsid w:val="00382B03"/>
    <w:rsid w:val="00382DD5"/>
    <w:rsid w:val="00382FA4"/>
    <w:rsid w:val="00385578"/>
    <w:rsid w:val="00390146"/>
    <w:rsid w:val="00390D22"/>
    <w:rsid w:val="00391345"/>
    <w:rsid w:val="00395056"/>
    <w:rsid w:val="003951FE"/>
    <w:rsid w:val="00395A81"/>
    <w:rsid w:val="003A0670"/>
    <w:rsid w:val="003A0CF0"/>
    <w:rsid w:val="003A599D"/>
    <w:rsid w:val="003A5D90"/>
    <w:rsid w:val="003B0991"/>
    <w:rsid w:val="003B2EC8"/>
    <w:rsid w:val="003B3132"/>
    <w:rsid w:val="003B4CD6"/>
    <w:rsid w:val="003B58E3"/>
    <w:rsid w:val="003C32C8"/>
    <w:rsid w:val="003C4122"/>
    <w:rsid w:val="003C511C"/>
    <w:rsid w:val="003C6705"/>
    <w:rsid w:val="003D0412"/>
    <w:rsid w:val="003D30CE"/>
    <w:rsid w:val="003D446A"/>
    <w:rsid w:val="003D5F15"/>
    <w:rsid w:val="003D5FF6"/>
    <w:rsid w:val="003D71D6"/>
    <w:rsid w:val="003D7316"/>
    <w:rsid w:val="003E1E9C"/>
    <w:rsid w:val="003E4B40"/>
    <w:rsid w:val="003E5785"/>
    <w:rsid w:val="003F0D64"/>
    <w:rsid w:val="003F76F6"/>
    <w:rsid w:val="003F78A2"/>
    <w:rsid w:val="003F7923"/>
    <w:rsid w:val="003F7B3F"/>
    <w:rsid w:val="00400914"/>
    <w:rsid w:val="00401E04"/>
    <w:rsid w:val="00404885"/>
    <w:rsid w:val="004077EC"/>
    <w:rsid w:val="00411C67"/>
    <w:rsid w:val="0041348F"/>
    <w:rsid w:val="004147CF"/>
    <w:rsid w:val="0041636D"/>
    <w:rsid w:val="004232EA"/>
    <w:rsid w:val="00426941"/>
    <w:rsid w:val="004311A3"/>
    <w:rsid w:val="00432D50"/>
    <w:rsid w:val="004369C9"/>
    <w:rsid w:val="00436D5A"/>
    <w:rsid w:val="00447FDC"/>
    <w:rsid w:val="004503DB"/>
    <w:rsid w:val="00454B30"/>
    <w:rsid w:val="00456389"/>
    <w:rsid w:val="0045670B"/>
    <w:rsid w:val="0045739E"/>
    <w:rsid w:val="004634B5"/>
    <w:rsid w:val="00465DD3"/>
    <w:rsid w:val="004676A2"/>
    <w:rsid w:val="00467D49"/>
    <w:rsid w:val="00470D81"/>
    <w:rsid w:val="0047160D"/>
    <w:rsid w:val="004739C1"/>
    <w:rsid w:val="00473C42"/>
    <w:rsid w:val="00475403"/>
    <w:rsid w:val="0047708A"/>
    <w:rsid w:val="00486F92"/>
    <w:rsid w:val="004919A3"/>
    <w:rsid w:val="0049213E"/>
    <w:rsid w:val="00492A14"/>
    <w:rsid w:val="004936D6"/>
    <w:rsid w:val="00496E6B"/>
    <w:rsid w:val="004A0960"/>
    <w:rsid w:val="004A1254"/>
    <w:rsid w:val="004A2274"/>
    <w:rsid w:val="004A288A"/>
    <w:rsid w:val="004A3310"/>
    <w:rsid w:val="004A3B9D"/>
    <w:rsid w:val="004A4961"/>
    <w:rsid w:val="004A4C5E"/>
    <w:rsid w:val="004A7A1D"/>
    <w:rsid w:val="004C0DB7"/>
    <w:rsid w:val="004C263B"/>
    <w:rsid w:val="004C3211"/>
    <w:rsid w:val="004C424B"/>
    <w:rsid w:val="004D0D09"/>
    <w:rsid w:val="004D1149"/>
    <w:rsid w:val="004D2E4D"/>
    <w:rsid w:val="004D3DB6"/>
    <w:rsid w:val="004D3E4F"/>
    <w:rsid w:val="004D45BC"/>
    <w:rsid w:val="004D4BC8"/>
    <w:rsid w:val="004D4FB4"/>
    <w:rsid w:val="004E0ECF"/>
    <w:rsid w:val="004E2410"/>
    <w:rsid w:val="004E2A76"/>
    <w:rsid w:val="004E320C"/>
    <w:rsid w:val="004E3526"/>
    <w:rsid w:val="004E767B"/>
    <w:rsid w:val="004F3ED6"/>
    <w:rsid w:val="004F5B0C"/>
    <w:rsid w:val="004F6D5F"/>
    <w:rsid w:val="005017F2"/>
    <w:rsid w:val="0050324F"/>
    <w:rsid w:val="00504B13"/>
    <w:rsid w:val="0051465C"/>
    <w:rsid w:val="0051509F"/>
    <w:rsid w:val="00516F18"/>
    <w:rsid w:val="0052789A"/>
    <w:rsid w:val="00530F37"/>
    <w:rsid w:val="0053118F"/>
    <w:rsid w:val="00531356"/>
    <w:rsid w:val="00535AE6"/>
    <w:rsid w:val="005372BB"/>
    <w:rsid w:val="0054017E"/>
    <w:rsid w:val="00540507"/>
    <w:rsid w:val="00542A39"/>
    <w:rsid w:val="00542BAC"/>
    <w:rsid w:val="00544447"/>
    <w:rsid w:val="005459D3"/>
    <w:rsid w:val="00547EDB"/>
    <w:rsid w:val="00550EBE"/>
    <w:rsid w:val="00553473"/>
    <w:rsid w:val="00560BE1"/>
    <w:rsid w:val="0056392F"/>
    <w:rsid w:val="005639C8"/>
    <w:rsid w:val="0057488E"/>
    <w:rsid w:val="00575962"/>
    <w:rsid w:val="00590675"/>
    <w:rsid w:val="00591DDF"/>
    <w:rsid w:val="005954C8"/>
    <w:rsid w:val="005A1643"/>
    <w:rsid w:val="005A4C76"/>
    <w:rsid w:val="005A5E23"/>
    <w:rsid w:val="005A75A7"/>
    <w:rsid w:val="005B0657"/>
    <w:rsid w:val="005B2575"/>
    <w:rsid w:val="005B451E"/>
    <w:rsid w:val="005C0720"/>
    <w:rsid w:val="005C145B"/>
    <w:rsid w:val="005C4CBC"/>
    <w:rsid w:val="005C5641"/>
    <w:rsid w:val="005C661E"/>
    <w:rsid w:val="005D3C71"/>
    <w:rsid w:val="005D5C96"/>
    <w:rsid w:val="005D684E"/>
    <w:rsid w:val="005D7030"/>
    <w:rsid w:val="005E13D1"/>
    <w:rsid w:val="005E1D66"/>
    <w:rsid w:val="005E280C"/>
    <w:rsid w:val="005E6E4B"/>
    <w:rsid w:val="005E7ED1"/>
    <w:rsid w:val="005F22D3"/>
    <w:rsid w:val="0060030A"/>
    <w:rsid w:val="00603ECE"/>
    <w:rsid w:val="00605692"/>
    <w:rsid w:val="00606BD4"/>
    <w:rsid w:val="00607112"/>
    <w:rsid w:val="0060763E"/>
    <w:rsid w:val="00607DC5"/>
    <w:rsid w:val="00613D8A"/>
    <w:rsid w:val="0061461D"/>
    <w:rsid w:val="00616513"/>
    <w:rsid w:val="00617663"/>
    <w:rsid w:val="00623156"/>
    <w:rsid w:val="00624A56"/>
    <w:rsid w:val="006261CF"/>
    <w:rsid w:val="0063011D"/>
    <w:rsid w:val="00630189"/>
    <w:rsid w:val="00630CC5"/>
    <w:rsid w:val="0063113D"/>
    <w:rsid w:val="00631393"/>
    <w:rsid w:val="00632D96"/>
    <w:rsid w:val="00633DEE"/>
    <w:rsid w:val="006369A5"/>
    <w:rsid w:val="00637FD1"/>
    <w:rsid w:val="00645C9E"/>
    <w:rsid w:val="00647F7D"/>
    <w:rsid w:val="00650024"/>
    <w:rsid w:val="006500CC"/>
    <w:rsid w:val="006519A5"/>
    <w:rsid w:val="00653147"/>
    <w:rsid w:val="00655E5E"/>
    <w:rsid w:val="00662F3A"/>
    <w:rsid w:val="006640F6"/>
    <w:rsid w:val="0066435D"/>
    <w:rsid w:val="00666295"/>
    <w:rsid w:val="00666BE0"/>
    <w:rsid w:val="00667BC2"/>
    <w:rsid w:val="00670E57"/>
    <w:rsid w:val="006719D5"/>
    <w:rsid w:val="00671CD0"/>
    <w:rsid w:val="00685153"/>
    <w:rsid w:val="00685825"/>
    <w:rsid w:val="00687DD4"/>
    <w:rsid w:val="006915D4"/>
    <w:rsid w:val="00691AB5"/>
    <w:rsid w:val="00695E5B"/>
    <w:rsid w:val="006969BB"/>
    <w:rsid w:val="00697673"/>
    <w:rsid w:val="006A400F"/>
    <w:rsid w:val="006A5D16"/>
    <w:rsid w:val="006B27BC"/>
    <w:rsid w:val="006B4D07"/>
    <w:rsid w:val="006B708F"/>
    <w:rsid w:val="006C05AE"/>
    <w:rsid w:val="006C21C6"/>
    <w:rsid w:val="006C32B1"/>
    <w:rsid w:val="006C482D"/>
    <w:rsid w:val="006C4E6E"/>
    <w:rsid w:val="006D09A1"/>
    <w:rsid w:val="006D2193"/>
    <w:rsid w:val="006D5B67"/>
    <w:rsid w:val="006D7301"/>
    <w:rsid w:val="006E4209"/>
    <w:rsid w:val="006E5851"/>
    <w:rsid w:val="006F1F62"/>
    <w:rsid w:val="006F2BAB"/>
    <w:rsid w:val="006F561C"/>
    <w:rsid w:val="006F5DB8"/>
    <w:rsid w:val="006F6942"/>
    <w:rsid w:val="00700ED6"/>
    <w:rsid w:val="00701D55"/>
    <w:rsid w:val="0070250A"/>
    <w:rsid w:val="00704D64"/>
    <w:rsid w:val="00706B40"/>
    <w:rsid w:val="00707885"/>
    <w:rsid w:val="00711F2F"/>
    <w:rsid w:val="0071209A"/>
    <w:rsid w:val="007165E2"/>
    <w:rsid w:val="00725ED4"/>
    <w:rsid w:val="00727D98"/>
    <w:rsid w:val="00734534"/>
    <w:rsid w:val="00735365"/>
    <w:rsid w:val="00735B05"/>
    <w:rsid w:val="007372D7"/>
    <w:rsid w:val="00737F2E"/>
    <w:rsid w:val="00740D15"/>
    <w:rsid w:val="00743811"/>
    <w:rsid w:val="00743F86"/>
    <w:rsid w:val="00747299"/>
    <w:rsid w:val="007478F3"/>
    <w:rsid w:val="00747EAC"/>
    <w:rsid w:val="007501A7"/>
    <w:rsid w:val="00751BA0"/>
    <w:rsid w:val="00752DDA"/>
    <w:rsid w:val="00755F91"/>
    <w:rsid w:val="00766E45"/>
    <w:rsid w:val="007714FB"/>
    <w:rsid w:val="00771EC2"/>
    <w:rsid w:val="0077386D"/>
    <w:rsid w:val="0077487D"/>
    <w:rsid w:val="00775E6F"/>
    <w:rsid w:val="00775FC7"/>
    <w:rsid w:val="007779D5"/>
    <w:rsid w:val="00777CA8"/>
    <w:rsid w:val="00780057"/>
    <w:rsid w:val="00781076"/>
    <w:rsid w:val="007823C4"/>
    <w:rsid w:val="00782654"/>
    <w:rsid w:val="0078394C"/>
    <w:rsid w:val="00784CAB"/>
    <w:rsid w:val="00784CC5"/>
    <w:rsid w:val="00785A7A"/>
    <w:rsid w:val="00786554"/>
    <w:rsid w:val="00790099"/>
    <w:rsid w:val="00791503"/>
    <w:rsid w:val="00792233"/>
    <w:rsid w:val="00792AB3"/>
    <w:rsid w:val="00793855"/>
    <w:rsid w:val="007A2ABD"/>
    <w:rsid w:val="007B0328"/>
    <w:rsid w:val="007B1346"/>
    <w:rsid w:val="007B142F"/>
    <w:rsid w:val="007B24A6"/>
    <w:rsid w:val="007C43E2"/>
    <w:rsid w:val="007D2F1D"/>
    <w:rsid w:val="007D515E"/>
    <w:rsid w:val="007D5596"/>
    <w:rsid w:val="007D7D56"/>
    <w:rsid w:val="007E0088"/>
    <w:rsid w:val="007E284C"/>
    <w:rsid w:val="007E6AC9"/>
    <w:rsid w:val="007E7B54"/>
    <w:rsid w:val="007F08A3"/>
    <w:rsid w:val="007F20BF"/>
    <w:rsid w:val="007F23BA"/>
    <w:rsid w:val="007F629F"/>
    <w:rsid w:val="007F68E6"/>
    <w:rsid w:val="007F7F5B"/>
    <w:rsid w:val="00800829"/>
    <w:rsid w:val="00801806"/>
    <w:rsid w:val="008116BA"/>
    <w:rsid w:val="00814F54"/>
    <w:rsid w:val="008151DE"/>
    <w:rsid w:val="00815E70"/>
    <w:rsid w:val="008167D9"/>
    <w:rsid w:val="00820CD1"/>
    <w:rsid w:val="00823CFE"/>
    <w:rsid w:val="00827BA5"/>
    <w:rsid w:val="00827DFE"/>
    <w:rsid w:val="008308E7"/>
    <w:rsid w:val="00832F75"/>
    <w:rsid w:val="0083599D"/>
    <w:rsid w:val="00835CB2"/>
    <w:rsid w:val="00836992"/>
    <w:rsid w:val="00841A67"/>
    <w:rsid w:val="00843286"/>
    <w:rsid w:val="008432CB"/>
    <w:rsid w:val="0084343E"/>
    <w:rsid w:val="00844B13"/>
    <w:rsid w:val="008476D1"/>
    <w:rsid w:val="0085139C"/>
    <w:rsid w:val="00851C8C"/>
    <w:rsid w:val="00852364"/>
    <w:rsid w:val="00852EDF"/>
    <w:rsid w:val="008537E5"/>
    <w:rsid w:val="0085418F"/>
    <w:rsid w:val="0085585C"/>
    <w:rsid w:val="00855BA0"/>
    <w:rsid w:val="008606F0"/>
    <w:rsid w:val="00862243"/>
    <w:rsid w:val="008625AC"/>
    <w:rsid w:val="00862813"/>
    <w:rsid w:val="00862888"/>
    <w:rsid w:val="00863ADF"/>
    <w:rsid w:val="00867C38"/>
    <w:rsid w:val="00870724"/>
    <w:rsid w:val="008709A2"/>
    <w:rsid w:val="00880B1B"/>
    <w:rsid w:val="00882B0F"/>
    <w:rsid w:val="00882EA6"/>
    <w:rsid w:val="008838D4"/>
    <w:rsid w:val="008844BC"/>
    <w:rsid w:val="00884DCD"/>
    <w:rsid w:val="008861BD"/>
    <w:rsid w:val="00895265"/>
    <w:rsid w:val="008A2640"/>
    <w:rsid w:val="008A302C"/>
    <w:rsid w:val="008A3734"/>
    <w:rsid w:val="008A5301"/>
    <w:rsid w:val="008A7A28"/>
    <w:rsid w:val="008B2C96"/>
    <w:rsid w:val="008B4517"/>
    <w:rsid w:val="008B55D8"/>
    <w:rsid w:val="008B621D"/>
    <w:rsid w:val="008C11E0"/>
    <w:rsid w:val="008C1534"/>
    <w:rsid w:val="008C1577"/>
    <w:rsid w:val="008C2841"/>
    <w:rsid w:val="008C6C29"/>
    <w:rsid w:val="008C76BA"/>
    <w:rsid w:val="008D001E"/>
    <w:rsid w:val="008D0F2E"/>
    <w:rsid w:val="008D4EFF"/>
    <w:rsid w:val="008E440D"/>
    <w:rsid w:val="008E48F6"/>
    <w:rsid w:val="008E4BB6"/>
    <w:rsid w:val="008E61EA"/>
    <w:rsid w:val="008F6A42"/>
    <w:rsid w:val="0090096A"/>
    <w:rsid w:val="009077AF"/>
    <w:rsid w:val="00907B19"/>
    <w:rsid w:val="00911227"/>
    <w:rsid w:val="009147AA"/>
    <w:rsid w:val="009149CE"/>
    <w:rsid w:val="00916FBF"/>
    <w:rsid w:val="00917406"/>
    <w:rsid w:val="00917D24"/>
    <w:rsid w:val="00925B0C"/>
    <w:rsid w:val="00925C19"/>
    <w:rsid w:val="0092742D"/>
    <w:rsid w:val="00942E12"/>
    <w:rsid w:val="009440C5"/>
    <w:rsid w:val="00944DAC"/>
    <w:rsid w:val="009513E0"/>
    <w:rsid w:val="00954306"/>
    <w:rsid w:val="00962676"/>
    <w:rsid w:val="00964827"/>
    <w:rsid w:val="00967301"/>
    <w:rsid w:val="009715E4"/>
    <w:rsid w:val="00971DDC"/>
    <w:rsid w:val="00974921"/>
    <w:rsid w:val="00975B89"/>
    <w:rsid w:val="00975CFE"/>
    <w:rsid w:val="009767D0"/>
    <w:rsid w:val="00980C55"/>
    <w:rsid w:val="00982286"/>
    <w:rsid w:val="009832B8"/>
    <w:rsid w:val="00985F85"/>
    <w:rsid w:val="00986464"/>
    <w:rsid w:val="00986DEA"/>
    <w:rsid w:val="00987161"/>
    <w:rsid w:val="009877EA"/>
    <w:rsid w:val="009A065C"/>
    <w:rsid w:val="009A10BC"/>
    <w:rsid w:val="009A1736"/>
    <w:rsid w:val="009A20FC"/>
    <w:rsid w:val="009A2B97"/>
    <w:rsid w:val="009A2BD7"/>
    <w:rsid w:val="009A5090"/>
    <w:rsid w:val="009A571D"/>
    <w:rsid w:val="009A7BFD"/>
    <w:rsid w:val="009B16D8"/>
    <w:rsid w:val="009B39ED"/>
    <w:rsid w:val="009B4D0D"/>
    <w:rsid w:val="009C070B"/>
    <w:rsid w:val="009C1838"/>
    <w:rsid w:val="009C5F0D"/>
    <w:rsid w:val="009C6D34"/>
    <w:rsid w:val="009D063B"/>
    <w:rsid w:val="009D0B56"/>
    <w:rsid w:val="009D0F2A"/>
    <w:rsid w:val="009D1E95"/>
    <w:rsid w:val="009D251E"/>
    <w:rsid w:val="009D337D"/>
    <w:rsid w:val="009D4EA3"/>
    <w:rsid w:val="009D6FC8"/>
    <w:rsid w:val="009E06C4"/>
    <w:rsid w:val="009E2D15"/>
    <w:rsid w:val="009E37C1"/>
    <w:rsid w:val="009E4F47"/>
    <w:rsid w:val="009E6D02"/>
    <w:rsid w:val="009F1A68"/>
    <w:rsid w:val="009F1E84"/>
    <w:rsid w:val="009F60B9"/>
    <w:rsid w:val="009F76BF"/>
    <w:rsid w:val="00A01679"/>
    <w:rsid w:val="00A051E2"/>
    <w:rsid w:val="00A05C4A"/>
    <w:rsid w:val="00A06EF7"/>
    <w:rsid w:val="00A109ED"/>
    <w:rsid w:val="00A10E5A"/>
    <w:rsid w:val="00A139B1"/>
    <w:rsid w:val="00A1552E"/>
    <w:rsid w:val="00A17C2C"/>
    <w:rsid w:val="00A17CA4"/>
    <w:rsid w:val="00A2101C"/>
    <w:rsid w:val="00A21A27"/>
    <w:rsid w:val="00A248E8"/>
    <w:rsid w:val="00A24BB9"/>
    <w:rsid w:val="00A27A5F"/>
    <w:rsid w:val="00A31F06"/>
    <w:rsid w:val="00A34BD6"/>
    <w:rsid w:val="00A354B8"/>
    <w:rsid w:val="00A36F6D"/>
    <w:rsid w:val="00A37F2D"/>
    <w:rsid w:val="00A43E26"/>
    <w:rsid w:val="00A501EA"/>
    <w:rsid w:val="00A54BD2"/>
    <w:rsid w:val="00A5686F"/>
    <w:rsid w:val="00A56C36"/>
    <w:rsid w:val="00A56F10"/>
    <w:rsid w:val="00A56F71"/>
    <w:rsid w:val="00A56F83"/>
    <w:rsid w:val="00A60FC4"/>
    <w:rsid w:val="00A63E5E"/>
    <w:rsid w:val="00A65130"/>
    <w:rsid w:val="00A66580"/>
    <w:rsid w:val="00A72A49"/>
    <w:rsid w:val="00A73255"/>
    <w:rsid w:val="00A73716"/>
    <w:rsid w:val="00A73724"/>
    <w:rsid w:val="00A737A9"/>
    <w:rsid w:val="00A74BE5"/>
    <w:rsid w:val="00A75602"/>
    <w:rsid w:val="00A7624E"/>
    <w:rsid w:val="00A84526"/>
    <w:rsid w:val="00A856AD"/>
    <w:rsid w:val="00A87C76"/>
    <w:rsid w:val="00A95FBA"/>
    <w:rsid w:val="00AA0DC6"/>
    <w:rsid w:val="00AB4AC9"/>
    <w:rsid w:val="00AB4E36"/>
    <w:rsid w:val="00AB56BE"/>
    <w:rsid w:val="00AB5BE9"/>
    <w:rsid w:val="00AB6A5C"/>
    <w:rsid w:val="00AB7C10"/>
    <w:rsid w:val="00AC03EE"/>
    <w:rsid w:val="00AC0873"/>
    <w:rsid w:val="00AC3A20"/>
    <w:rsid w:val="00AD0FB0"/>
    <w:rsid w:val="00AD11F6"/>
    <w:rsid w:val="00AD21FB"/>
    <w:rsid w:val="00AD27E4"/>
    <w:rsid w:val="00AD3454"/>
    <w:rsid w:val="00AD37AF"/>
    <w:rsid w:val="00AD48B4"/>
    <w:rsid w:val="00AD63F2"/>
    <w:rsid w:val="00AD7539"/>
    <w:rsid w:val="00AD76AF"/>
    <w:rsid w:val="00AE0163"/>
    <w:rsid w:val="00AE0F7C"/>
    <w:rsid w:val="00AE14EB"/>
    <w:rsid w:val="00AE5BC6"/>
    <w:rsid w:val="00AF126D"/>
    <w:rsid w:val="00AF3F4A"/>
    <w:rsid w:val="00AF4F18"/>
    <w:rsid w:val="00AF63FC"/>
    <w:rsid w:val="00B01AD7"/>
    <w:rsid w:val="00B053CF"/>
    <w:rsid w:val="00B057A1"/>
    <w:rsid w:val="00B05C90"/>
    <w:rsid w:val="00B14D45"/>
    <w:rsid w:val="00B15701"/>
    <w:rsid w:val="00B17A43"/>
    <w:rsid w:val="00B2020B"/>
    <w:rsid w:val="00B20DBE"/>
    <w:rsid w:val="00B224B0"/>
    <w:rsid w:val="00B228F8"/>
    <w:rsid w:val="00B23D76"/>
    <w:rsid w:val="00B2413E"/>
    <w:rsid w:val="00B2438E"/>
    <w:rsid w:val="00B276E3"/>
    <w:rsid w:val="00B324DD"/>
    <w:rsid w:val="00B33717"/>
    <w:rsid w:val="00B35DCE"/>
    <w:rsid w:val="00B3712E"/>
    <w:rsid w:val="00B42C30"/>
    <w:rsid w:val="00B43A77"/>
    <w:rsid w:val="00B43D2D"/>
    <w:rsid w:val="00B447DE"/>
    <w:rsid w:val="00B46B0B"/>
    <w:rsid w:val="00B52FD0"/>
    <w:rsid w:val="00B55EF4"/>
    <w:rsid w:val="00B57DAD"/>
    <w:rsid w:val="00B60F6C"/>
    <w:rsid w:val="00B6496F"/>
    <w:rsid w:val="00B675DA"/>
    <w:rsid w:val="00B67E84"/>
    <w:rsid w:val="00B722D1"/>
    <w:rsid w:val="00B748CB"/>
    <w:rsid w:val="00B751D1"/>
    <w:rsid w:val="00B80DC0"/>
    <w:rsid w:val="00B83AB4"/>
    <w:rsid w:val="00B8436D"/>
    <w:rsid w:val="00B84406"/>
    <w:rsid w:val="00B84A16"/>
    <w:rsid w:val="00B85FCD"/>
    <w:rsid w:val="00B86F21"/>
    <w:rsid w:val="00B9561A"/>
    <w:rsid w:val="00BA13EB"/>
    <w:rsid w:val="00BA1BCB"/>
    <w:rsid w:val="00BA1DB7"/>
    <w:rsid w:val="00BA1E26"/>
    <w:rsid w:val="00BA4F2C"/>
    <w:rsid w:val="00BA66C8"/>
    <w:rsid w:val="00BA74B1"/>
    <w:rsid w:val="00BB079E"/>
    <w:rsid w:val="00BB0EE4"/>
    <w:rsid w:val="00BB1144"/>
    <w:rsid w:val="00BB1ACC"/>
    <w:rsid w:val="00BB2090"/>
    <w:rsid w:val="00BB34BC"/>
    <w:rsid w:val="00BC1721"/>
    <w:rsid w:val="00BC36EB"/>
    <w:rsid w:val="00BC6410"/>
    <w:rsid w:val="00BD02B4"/>
    <w:rsid w:val="00BD2916"/>
    <w:rsid w:val="00BD2CD9"/>
    <w:rsid w:val="00BD4761"/>
    <w:rsid w:val="00BD533E"/>
    <w:rsid w:val="00BD5942"/>
    <w:rsid w:val="00BD79D6"/>
    <w:rsid w:val="00BE0328"/>
    <w:rsid w:val="00BE0561"/>
    <w:rsid w:val="00BE0C7A"/>
    <w:rsid w:val="00BE1415"/>
    <w:rsid w:val="00BE6C7C"/>
    <w:rsid w:val="00BE7618"/>
    <w:rsid w:val="00BE7E4D"/>
    <w:rsid w:val="00BF06F5"/>
    <w:rsid w:val="00BF583E"/>
    <w:rsid w:val="00BF64F7"/>
    <w:rsid w:val="00BF76DA"/>
    <w:rsid w:val="00C05DCA"/>
    <w:rsid w:val="00C072F1"/>
    <w:rsid w:val="00C1151D"/>
    <w:rsid w:val="00C125D9"/>
    <w:rsid w:val="00C139FD"/>
    <w:rsid w:val="00C16865"/>
    <w:rsid w:val="00C17F00"/>
    <w:rsid w:val="00C20F4C"/>
    <w:rsid w:val="00C21490"/>
    <w:rsid w:val="00C2583D"/>
    <w:rsid w:val="00C322A3"/>
    <w:rsid w:val="00C330B3"/>
    <w:rsid w:val="00C340D3"/>
    <w:rsid w:val="00C34114"/>
    <w:rsid w:val="00C36B8F"/>
    <w:rsid w:val="00C370AC"/>
    <w:rsid w:val="00C37F78"/>
    <w:rsid w:val="00C40998"/>
    <w:rsid w:val="00C40CC5"/>
    <w:rsid w:val="00C440A0"/>
    <w:rsid w:val="00C451E4"/>
    <w:rsid w:val="00C46F9D"/>
    <w:rsid w:val="00C46FD5"/>
    <w:rsid w:val="00C50606"/>
    <w:rsid w:val="00C53A24"/>
    <w:rsid w:val="00C53B43"/>
    <w:rsid w:val="00C5491E"/>
    <w:rsid w:val="00C57BB1"/>
    <w:rsid w:val="00C57D4A"/>
    <w:rsid w:val="00C62CA8"/>
    <w:rsid w:val="00C63D88"/>
    <w:rsid w:val="00C666F9"/>
    <w:rsid w:val="00C67D78"/>
    <w:rsid w:val="00C67EFC"/>
    <w:rsid w:val="00C706BB"/>
    <w:rsid w:val="00C70D6D"/>
    <w:rsid w:val="00C71E54"/>
    <w:rsid w:val="00C7266F"/>
    <w:rsid w:val="00C728B2"/>
    <w:rsid w:val="00C73384"/>
    <w:rsid w:val="00C770E4"/>
    <w:rsid w:val="00C77693"/>
    <w:rsid w:val="00C80E32"/>
    <w:rsid w:val="00C81C1B"/>
    <w:rsid w:val="00C91BA7"/>
    <w:rsid w:val="00C95552"/>
    <w:rsid w:val="00C95E31"/>
    <w:rsid w:val="00CA02C5"/>
    <w:rsid w:val="00CA22C4"/>
    <w:rsid w:val="00CA6A1B"/>
    <w:rsid w:val="00CB07E5"/>
    <w:rsid w:val="00CB30DE"/>
    <w:rsid w:val="00CB6187"/>
    <w:rsid w:val="00CB68F1"/>
    <w:rsid w:val="00CC3453"/>
    <w:rsid w:val="00CD1E8F"/>
    <w:rsid w:val="00CD21A5"/>
    <w:rsid w:val="00CD25E5"/>
    <w:rsid w:val="00CD3EDA"/>
    <w:rsid w:val="00CD57F5"/>
    <w:rsid w:val="00CD5EAC"/>
    <w:rsid w:val="00CD7CE1"/>
    <w:rsid w:val="00CE01A6"/>
    <w:rsid w:val="00CE090B"/>
    <w:rsid w:val="00CE2C0B"/>
    <w:rsid w:val="00CE36DA"/>
    <w:rsid w:val="00CE6DC4"/>
    <w:rsid w:val="00CF0F84"/>
    <w:rsid w:val="00CF20D4"/>
    <w:rsid w:val="00CF241E"/>
    <w:rsid w:val="00CF55F0"/>
    <w:rsid w:val="00CF6B37"/>
    <w:rsid w:val="00D01138"/>
    <w:rsid w:val="00D0317F"/>
    <w:rsid w:val="00D03210"/>
    <w:rsid w:val="00D04AAF"/>
    <w:rsid w:val="00D06F30"/>
    <w:rsid w:val="00D11884"/>
    <w:rsid w:val="00D11A80"/>
    <w:rsid w:val="00D12934"/>
    <w:rsid w:val="00D12BC5"/>
    <w:rsid w:val="00D14770"/>
    <w:rsid w:val="00D17C04"/>
    <w:rsid w:val="00D20454"/>
    <w:rsid w:val="00D24438"/>
    <w:rsid w:val="00D25C89"/>
    <w:rsid w:val="00D26DF9"/>
    <w:rsid w:val="00D2733A"/>
    <w:rsid w:val="00D31388"/>
    <w:rsid w:val="00D31FD0"/>
    <w:rsid w:val="00D34F45"/>
    <w:rsid w:val="00D35263"/>
    <w:rsid w:val="00D431AE"/>
    <w:rsid w:val="00D44C61"/>
    <w:rsid w:val="00D44D51"/>
    <w:rsid w:val="00D4679D"/>
    <w:rsid w:val="00D66943"/>
    <w:rsid w:val="00D674E5"/>
    <w:rsid w:val="00D67834"/>
    <w:rsid w:val="00D67B9B"/>
    <w:rsid w:val="00D70C5E"/>
    <w:rsid w:val="00D711F6"/>
    <w:rsid w:val="00D74911"/>
    <w:rsid w:val="00D74D35"/>
    <w:rsid w:val="00D76D27"/>
    <w:rsid w:val="00D804C0"/>
    <w:rsid w:val="00D807D5"/>
    <w:rsid w:val="00D814BF"/>
    <w:rsid w:val="00D8280A"/>
    <w:rsid w:val="00D866E7"/>
    <w:rsid w:val="00D867A7"/>
    <w:rsid w:val="00D87015"/>
    <w:rsid w:val="00D9159F"/>
    <w:rsid w:val="00D91B88"/>
    <w:rsid w:val="00D94CE1"/>
    <w:rsid w:val="00D96469"/>
    <w:rsid w:val="00D96D41"/>
    <w:rsid w:val="00D97C20"/>
    <w:rsid w:val="00DA15BD"/>
    <w:rsid w:val="00DA5E88"/>
    <w:rsid w:val="00DA66FD"/>
    <w:rsid w:val="00DA7B58"/>
    <w:rsid w:val="00DB12D2"/>
    <w:rsid w:val="00DB1527"/>
    <w:rsid w:val="00DB173C"/>
    <w:rsid w:val="00DB18C4"/>
    <w:rsid w:val="00DB6035"/>
    <w:rsid w:val="00DC1B57"/>
    <w:rsid w:val="00DC21F8"/>
    <w:rsid w:val="00DC51E9"/>
    <w:rsid w:val="00DC75EE"/>
    <w:rsid w:val="00DD1F20"/>
    <w:rsid w:val="00DD32F8"/>
    <w:rsid w:val="00DD4ACD"/>
    <w:rsid w:val="00DD5E85"/>
    <w:rsid w:val="00DD73D4"/>
    <w:rsid w:val="00DE0D25"/>
    <w:rsid w:val="00DE1DC3"/>
    <w:rsid w:val="00DE385B"/>
    <w:rsid w:val="00DE39E2"/>
    <w:rsid w:val="00DE4651"/>
    <w:rsid w:val="00DE56C4"/>
    <w:rsid w:val="00DE5AC5"/>
    <w:rsid w:val="00DE5B66"/>
    <w:rsid w:val="00DE636F"/>
    <w:rsid w:val="00DF2616"/>
    <w:rsid w:val="00DF3401"/>
    <w:rsid w:val="00DF5282"/>
    <w:rsid w:val="00DF79C3"/>
    <w:rsid w:val="00E02494"/>
    <w:rsid w:val="00E0308E"/>
    <w:rsid w:val="00E04543"/>
    <w:rsid w:val="00E10AAE"/>
    <w:rsid w:val="00E11B69"/>
    <w:rsid w:val="00E16CA9"/>
    <w:rsid w:val="00E16FB8"/>
    <w:rsid w:val="00E228C2"/>
    <w:rsid w:val="00E23ABD"/>
    <w:rsid w:val="00E23FE6"/>
    <w:rsid w:val="00E24302"/>
    <w:rsid w:val="00E26168"/>
    <w:rsid w:val="00E27188"/>
    <w:rsid w:val="00E30E8A"/>
    <w:rsid w:val="00E32AAC"/>
    <w:rsid w:val="00E360FE"/>
    <w:rsid w:val="00E364E3"/>
    <w:rsid w:val="00E40DCE"/>
    <w:rsid w:val="00E41367"/>
    <w:rsid w:val="00E44699"/>
    <w:rsid w:val="00E44A74"/>
    <w:rsid w:val="00E50D6F"/>
    <w:rsid w:val="00E52593"/>
    <w:rsid w:val="00E56F21"/>
    <w:rsid w:val="00E574EB"/>
    <w:rsid w:val="00E60748"/>
    <w:rsid w:val="00E629D0"/>
    <w:rsid w:val="00E6333F"/>
    <w:rsid w:val="00E63B2C"/>
    <w:rsid w:val="00E63E87"/>
    <w:rsid w:val="00E6486D"/>
    <w:rsid w:val="00E64F61"/>
    <w:rsid w:val="00E65EAF"/>
    <w:rsid w:val="00E67135"/>
    <w:rsid w:val="00E70660"/>
    <w:rsid w:val="00E73160"/>
    <w:rsid w:val="00E75777"/>
    <w:rsid w:val="00E75B52"/>
    <w:rsid w:val="00E8043A"/>
    <w:rsid w:val="00E81162"/>
    <w:rsid w:val="00E81EA1"/>
    <w:rsid w:val="00E9005E"/>
    <w:rsid w:val="00E90203"/>
    <w:rsid w:val="00E912F3"/>
    <w:rsid w:val="00E93211"/>
    <w:rsid w:val="00EA12B3"/>
    <w:rsid w:val="00EA52C0"/>
    <w:rsid w:val="00EA67CC"/>
    <w:rsid w:val="00EA69F3"/>
    <w:rsid w:val="00EB1580"/>
    <w:rsid w:val="00EB269F"/>
    <w:rsid w:val="00EB44F0"/>
    <w:rsid w:val="00EB5199"/>
    <w:rsid w:val="00EB63BC"/>
    <w:rsid w:val="00EC2D46"/>
    <w:rsid w:val="00EC31A7"/>
    <w:rsid w:val="00EC50B4"/>
    <w:rsid w:val="00EC5D9F"/>
    <w:rsid w:val="00EC6A00"/>
    <w:rsid w:val="00ED0F0E"/>
    <w:rsid w:val="00ED27AE"/>
    <w:rsid w:val="00ED3473"/>
    <w:rsid w:val="00ED3E45"/>
    <w:rsid w:val="00ED4220"/>
    <w:rsid w:val="00ED580D"/>
    <w:rsid w:val="00ED6246"/>
    <w:rsid w:val="00EE02A7"/>
    <w:rsid w:val="00EE0917"/>
    <w:rsid w:val="00EE2444"/>
    <w:rsid w:val="00EE4394"/>
    <w:rsid w:val="00EE479A"/>
    <w:rsid w:val="00EE514C"/>
    <w:rsid w:val="00EE681A"/>
    <w:rsid w:val="00EF0934"/>
    <w:rsid w:val="00EF2022"/>
    <w:rsid w:val="00EF3742"/>
    <w:rsid w:val="00EF39AE"/>
    <w:rsid w:val="00EF5172"/>
    <w:rsid w:val="00F00D38"/>
    <w:rsid w:val="00F03C36"/>
    <w:rsid w:val="00F0440F"/>
    <w:rsid w:val="00F12F07"/>
    <w:rsid w:val="00F153B7"/>
    <w:rsid w:val="00F200C6"/>
    <w:rsid w:val="00F213CA"/>
    <w:rsid w:val="00F219C6"/>
    <w:rsid w:val="00F21DC8"/>
    <w:rsid w:val="00F26CB1"/>
    <w:rsid w:val="00F3361D"/>
    <w:rsid w:val="00F367E2"/>
    <w:rsid w:val="00F368C7"/>
    <w:rsid w:val="00F4154F"/>
    <w:rsid w:val="00F42DB6"/>
    <w:rsid w:val="00F436D6"/>
    <w:rsid w:val="00F43BCE"/>
    <w:rsid w:val="00F478B6"/>
    <w:rsid w:val="00F47A4E"/>
    <w:rsid w:val="00F47BBC"/>
    <w:rsid w:val="00F51A36"/>
    <w:rsid w:val="00F53E13"/>
    <w:rsid w:val="00F55E5C"/>
    <w:rsid w:val="00F615CF"/>
    <w:rsid w:val="00F626F0"/>
    <w:rsid w:val="00F62B47"/>
    <w:rsid w:val="00F6345C"/>
    <w:rsid w:val="00F650AB"/>
    <w:rsid w:val="00F67477"/>
    <w:rsid w:val="00F71B3D"/>
    <w:rsid w:val="00F73D38"/>
    <w:rsid w:val="00F74B37"/>
    <w:rsid w:val="00F76C48"/>
    <w:rsid w:val="00F770CB"/>
    <w:rsid w:val="00F8244E"/>
    <w:rsid w:val="00F87E96"/>
    <w:rsid w:val="00F90CBB"/>
    <w:rsid w:val="00F90E68"/>
    <w:rsid w:val="00F91E12"/>
    <w:rsid w:val="00F923ED"/>
    <w:rsid w:val="00F93C31"/>
    <w:rsid w:val="00FA27C0"/>
    <w:rsid w:val="00FA28A1"/>
    <w:rsid w:val="00FA28C9"/>
    <w:rsid w:val="00FA2B9A"/>
    <w:rsid w:val="00FA7968"/>
    <w:rsid w:val="00FB75D9"/>
    <w:rsid w:val="00FB7D7E"/>
    <w:rsid w:val="00FB7F37"/>
    <w:rsid w:val="00FC08BE"/>
    <w:rsid w:val="00FC1E80"/>
    <w:rsid w:val="00FC642C"/>
    <w:rsid w:val="00FD32F7"/>
    <w:rsid w:val="00FD5119"/>
    <w:rsid w:val="00FD59E3"/>
    <w:rsid w:val="00FE3870"/>
    <w:rsid w:val="00FE4510"/>
    <w:rsid w:val="00FE489F"/>
    <w:rsid w:val="00FE4B3B"/>
    <w:rsid w:val="00FE663C"/>
    <w:rsid w:val="00FF23B5"/>
    <w:rsid w:val="00FF29CC"/>
    <w:rsid w:val="00FF3F5F"/>
    <w:rsid w:val="00FF6282"/>
    <w:rsid w:val="00FF6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E799DC3"/>
  <w14:defaultImageDpi w14:val="330"/>
  <w15:docId w15:val="{CE8F81BE-AA33-4960-A499-ABA3E4B4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436D5A"/>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aliases w:val="AS 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aliases w:val="AS 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CommentReference">
    <w:name w:val="annotation reference"/>
    <w:basedOn w:val="DefaultParagraphFont"/>
    <w:uiPriority w:val="99"/>
    <w:semiHidden/>
    <w:unhideWhenUsed/>
    <w:rsid w:val="00163C6A"/>
    <w:rPr>
      <w:sz w:val="16"/>
      <w:szCs w:val="16"/>
    </w:rPr>
  </w:style>
  <w:style w:type="paragraph" w:styleId="CommentText">
    <w:name w:val="annotation text"/>
    <w:basedOn w:val="Normal"/>
    <w:link w:val="CommentTextChar"/>
    <w:uiPriority w:val="99"/>
    <w:semiHidden/>
    <w:unhideWhenUsed/>
    <w:rsid w:val="00163C6A"/>
    <w:pPr>
      <w:spacing w:line="240" w:lineRule="auto"/>
    </w:pPr>
    <w:rPr>
      <w:sz w:val="20"/>
      <w:szCs w:val="20"/>
    </w:rPr>
  </w:style>
  <w:style w:type="character" w:customStyle="1" w:styleId="CommentTextChar">
    <w:name w:val="Comment Text Char"/>
    <w:basedOn w:val="DefaultParagraphFont"/>
    <w:link w:val="CommentText"/>
    <w:uiPriority w:val="99"/>
    <w:semiHidden/>
    <w:rsid w:val="00163C6A"/>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163C6A"/>
    <w:rPr>
      <w:b/>
      <w:bCs/>
    </w:rPr>
  </w:style>
  <w:style w:type="character" w:customStyle="1" w:styleId="CommentSubjectChar">
    <w:name w:val="Comment Subject Char"/>
    <w:basedOn w:val="CommentTextChar"/>
    <w:link w:val="CommentSubject"/>
    <w:uiPriority w:val="99"/>
    <w:semiHidden/>
    <w:rsid w:val="00163C6A"/>
    <w:rPr>
      <w:rFonts w:ascii="Arial" w:hAnsi="Arial" w:cs="Arial"/>
      <w:b/>
      <w:bCs/>
      <w:color w:val="auto"/>
      <w:sz w:val="20"/>
      <w:szCs w:val="20"/>
    </w:rPr>
  </w:style>
  <w:style w:type="paragraph" w:styleId="BalloonText">
    <w:name w:val="Balloon Text"/>
    <w:basedOn w:val="Normal"/>
    <w:link w:val="BalloonTextChar"/>
    <w:uiPriority w:val="99"/>
    <w:semiHidden/>
    <w:unhideWhenUsed/>
    <w:rsid w:val="00163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6A"/>
    <w:rPr>
      <w:rFonts w:ascii="Tahoma" w:hAnsi="Tahoma" w:cs="Tahoma"/>
      <w:color w:val="auto"/>
      <w:sz w:val="16"/>
      <w:szCs w:val="16"/>
    </w:rPr>
  </w:style>
  <w:style w:type="character" w:styleId="Hyperlink">
    <w:name w:val="Hyperlink"/>
    <w:basedOn w:val="DefaultParagraphFont"/>
    <w:uiPriority w:val="99"/>
    <w:unhideWhenUsed/>
    <w:rsid w:val="006D09A1"/>
    <w:rPr>
      <w:color w:val="0000FF" w:themeColor="hyperlink"/>
      <w:u w:val="single"/>
    </w:rPr>
  </w:style>
  <w:style w:type="character" w:customStyle="1" w:styleId="ms-tablecell">
    <w:name w:val="ms-tablecell"/>
    <w:basedOn w:val="DefaultParagraphFont"/>
    <w:rsid w:val="002F259B"/>
  </w:style>
  <w:style w:type="paragraph" w:customStyle="1" w:styleId="ASNumberedLevel1">
    <w:name w:val="AS Numbered (Level 1)"/>
    <w:basedOn w:val="Normal"/>
    <w:qFormat/>
    <w:rsid w:val="00356208"/>
    <w:pPr>
      <w:numPr>
        <w:numId w:val="25"/>
      </w:numPr>
      <w:tabs>
        <w:tab w:val="num" w:pos="360"/>
      </w:tabs>
      <w:spacing w:before="240" w:line="240" w:lineRule="auto"/>
      <w:ind w:left="0" w:firstLine="0"/>
      <w:outlineLvl w:val="0"/>
    </w:pPr>
    <w:rPr>
      <w:rFonts w:ascii="Calibri" w:eastAsia="Calibri" w:hAnsi="Calibri"/>
    </w:rPr>
  </w:style>
  <w:style w:type="paragraph" w:customStyle="1" w:styleId="ASNumberedLevel2">
    <w:name w:val="AS Numbered (Level 2)"/>
    <w:basedOn w:val="Normal"/>
    <w:rsid w:val="00356208"/>
    <w:pPr>
      <w:numPr>
        <w:ilvl w:val="1"/>
        <w:numId w:val="25"/>
      </w:numPr>
      <w:tabs>
        <w:tab w:val="num" w:pos="360"/>
        <w:tab w:val="left" w:pos="851"/>
      </w:tabs>
      <w:spacing w:line="240" w:lineRule="auto"/>
      <w:ind w:left="850" w:hanging="510"/>
      <w:outlineLvl w:val="1"/>
    </w:pPr>
    <w:rPr>
      <w:rFonts w:ascii="Calibri" w:eastAsia="Calibri" w:hAnsi="Calibri"/>
    </w:rPr>
  </w:style>
  <w:style w:type="paragraph" w:customStyle="1" w:styleId="ASNumberedLevel3">
    <w:name w:val="AS Numbered (Level 3)"/>
    <w:basedOn w:val="Normal"/>
    <w:rsid w:val="00356208"/>
    <w:pPr>
      <w:numPr>
        <w:ilvl w:val="2"/>
        <w:numId w:val="25"/>
      </w:numPr>
      <w:tabs>
        <w:tab w:val="num" w:pos="360"/>
        <w:tab w:val="left" w:pos="1559"/>
      </w:tabs>
      <w:spacing w:line="240" w:lineRule="auto"/>
      <w:ind w:left="1560" w:hanging="709"/>
      <w:outlineLvl w:val="2"/>
    </w:pPr>
    <w:rPr>
      <w:rFonts w:ascii="Calibri" w:eastAsia="Calibri" w:hAnsi="Calibri"/>
    </w:rPr>
  </w:style>
  <w:style w:type="paragraph" w:customStyle="1" w:styleId="ASNumberedLevel4">
    <w:name w:val="AS Numbered (Level 4)"/>
    <w:basedOn w:val="Normal"/>
    <w:rsid w:val="00356208"/>
    <w:pPr>
      <w:numPr>
        <w:ilvl w:val="3"/>
        <w:numId w:val="25"/>
      </w:numPr>
      <w:tabs>
        <w:tab w:val="num" w:pos="360"/>
      </w:tabs>
      <w:spacing w:line="240" w:lineRule="auto"/>
      <w:ind w:left="2551" w:hanging="992"/>
      <w:outlineLvl w:val="3"/>
    </w:pPr>
    <w:rPr>
      <w:rFonts w:ascii="Calibri" w:eastAsia="Calibri" w:hAnsi="Calibri"/>
      <w:szCs w:val="20"/>
    </w:rPr>
  </w:style>
  <w:style w:type="paragraph" w:customStyle="1" w:styleId="ASNumberedLevel5">
    <w:name w:val="AS Numbered (Level 5)"/>
    <w:basedOn w:val="Normal"/>
    <w:rsid w:val="00356208"/>
    <w:pPr>
      <w:numPr>
        <w:ilvl w:val="4"/>
        <w:numId w:val="25"/>
      </w:numPr>
      <w:tabs>
        <w:tab w:val="num" w:pos="360"/>
      </w:tabs>
      <w:spacing w:line="240" w:lineRule="auto"/>
      <w:ind w:left="3686" w:hanging="1134"/>
      <w:outlineLvl w:val="4"/>
    </w:pPr>
    <w:rPr>
      <w:rFonts w:ascii="Calibri" w:eastAsia="Calibri" w:hAnsi="Calibri"/>
      <w:szCs w:val="20"/>
    </w:rPr>
  </w:style>
  <w:style w:type="character" w:customStyle="1" w:styleId="UnresolvedMention1">
    <w:name w:val="Unresolved Mention1"/>
    <w:basedOn w:val="DefaultParagraphFont"/>
    <w:uiPriority w:val="99"/>
    <w:semiHidden/>
    <w:unhideWhenUsed/>
    <w:rsid w:val="00C81C1B"/>
    <w:rPr>
      <w:color w:val="605E5C"/>
      <w:shd w:val="clear" w:color="auto" w:fill="E1DFDD"/>
    </w:rPr>
  </w:style>
  <w:style w:type="character" w:customStyle="1" w:styleId="UnresolvedMention2">
    <w:name w:val="Unresolved Mention2"/>
    <w:basedOn w:val="DefaultParagraphFont"/>
    <w:uiPriority w:val="99"/>
    <w:semiHidden/>
    <w:unhideWhenUsed/>
    <w:rsid w:val="00027698"/>
    <w:rPr>
      <w:color w:val="605E5C"/>
      <w:shd w:val="clear" w:color="auto" w:fill="E1DFDD"/>
    </w:rPr>
  </w:style>
  <w:style w:type="character" w:styleId="FollowedHyperlink">
    <w:name w:val="FollowedHyperlink"/>
    <w:basedOn w:val="DefaultParagraphFont"/>
    <w:uiPriority w:val="99"/>
    <w:semiHidden/>
    <w:unhideWhenUsed/>
    <w:rsid w:val="009F76BF"/>
    <w:rPr>
      <w:color w:val="800080" w:themeColor="followedHyperlink"/>
      <w:u w:val="single"/>
    </w:rPr>
  </w:style>
  <w:style w:type="character" w:customStyle="1" w:styleId="UnresolvedMention3">
    <w:name w:val="Unresolved Mention3"/>
    <w:basedOn w:val="DefaultParagraphFont"/>
    <w:uiPriority w:val="99"/>
    <w:semiHidden/>
    <w:unhideWhenUsed/>
    <w:rsid w:val="008A3734"/>
    <w:rPr>
      <w:color w:val="605E5C"/>
      <w:shd w:val="clear" w:color="auto" w:fill="E1DFDD"/>
    </w:rPr>
  </w:style>
  <w:style w:type="paragraph" w:styleId="Revision">
    <w:name w:val="Revision"/>
    <w:hidden/>
    <w:uiPriority w:val="99"/>
    <w:semiHidden/>
    <w:rsid w:val="003F7B3F"/>
    <w:rPr>
      <w:rFonts w:ascii="Arial" w:hAnsi="Arial" w:cs="Arial"/>
      <w:color w:val="auto"/>
    </w:rPr>
  </w:style>
  <w:style w:type="paragraph" w:styleId="NormalWeb">
    <w:name w:val="Normal (Web)"/>
    <w:basedOn w:val="Normal"/>
    <w:uiPriority w:val="99"/>
    <w:semiHidden/>
    <w:unhideWhenUsed/>
    <w:rsid w:val="002856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43D2D"/>
    <w:rPr>
      <w:color w:val="605E5C"/>
      <w:shd w:val="clear" w:color="auto" w:fill="E1DFDD"/>
    </w:rPr>
  </w:style>
  <w:style w:type="paragraph" w:customStyle="1" w:styleId="Default">
    <w:name w:val="Default"/>
    <w:rsid w:val="00B43D2D"/>
    <w:pPr>
      <w:autoSpaceDE w:val="0"/>
      <w:autoSpaceDN w:val="0"/>
      <w:adjustRightInd w:val="0"/>
    </w:pPr>
    <w:rPr>
      <w:rFonts w:ascii="Arial" w:eastAsiaTheme="minorHAnsi" w:hAnsi="Arial" w:cs="Arial"/>
      <w:color w:val="000000"/>
      <w:sz w:val="24"/>
      <w:szCs w:val="24"/>
    </w:rPr>
  </w:style>
  <w:style w:type="paragraph" w:customStyle="1" w:styleId="Level1Heading">
    <w:name w:val="Level 1 Heading"/>
    <w:basedOn w:val="BodyText"/>
    <w:next w:val="Normal"/>
    <w:uiPriority w:val="19"/>
    <w:qFormat/>
    <w:rsid w:val="00792AB3"/>
    <w:pPr>
      <w:keepNext/>
      <w:numPr>
        <w:numId w:val="60"/>
      </w:numPr>
      <w:tabs>
        <w:tab w:val="num" w:pos="1209"/>
      </w:tabs>
      <w:spacing w:after="240" w:line="276" w:lineRule="auto"/>
      <w:ind w:left="1209" w:hanging="360"/>
      <w:outlineLvl w:val="0"/>
    </w:pPr>
    <w:rPr>
      <w:rFonts w:asciiTheme="minorHAnsi" w:eastAsiaTheme="minorHAnsi" w:hAnsiTheme="minorHAnsi" w:cstheme="minorBidi"/>
      <w:b/>
      <w:bCs/>
      <w:szCs w:val="24"/>
    </w:rPr>
  </w:style>
  <w:style w:type="paragraph" w:customStyle="1" w:styleId="Level2Number">
    <w:name w:val="Level 2 Number"/>
    <w:basedOn w:val="BodyText"/>
    <w:uiPriority w:val="19"/>
    <w:qFormat/>
    <w:rsid w:val="00792AB3"/>
    <w:pPr>
      <w:numPr>
        <w:ilvl w:val="1"/>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3Number">
    <w:name w:val="Level 3 Number"/>
    <w:basedOn w:val="BodyText"/>
    <w:uiPriority w:val="19"/>
    <w:qFormat/>
    <w:rsid w:val="00792AB3"/>
    <w:pPr>
      <w:numPr>
        <w:ilvl w:val="2"/>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4Number">
    <w:name w:val="Level 4 Number"/>
    <w:basedOn w:val="BodyText"/>
    <w:uiPriority w:val="19"/>
    <w:qFormat/>
    <w:rsid w:val="00792AB3"/>
    <w:pPr>
      <w:numPr>
        <w:ilvl w:val="3"/>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5Number">
    <w:name w:val="Level 5 Number"/>
    <w:basedOn w:val="BodyText"/>
    <w:uiPriority w:val="19"/>
    <w:rsid w:val="00792AB3"/>
    <w:pPr>
      <w:numPr>
        <w:ilvl w:val="4"/>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6Number">
    <w:name w:val="Level 6 Number"/>
    <w:basedOn w:val="BodyText"/>
    <w:uiPriority w:val="19"/>
    <w:rsid w:val="00792AB3"/>
    <w:pPr>
      <w:numPr>
        <w:ilvl w:val="5"/>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7Number">
    <w:name w:val="Level 7 Number"/>
    <w:basedOn w:val="BodyText"/>
    <w:uiPriority w:val="19"/>
    <w:rsid w:val="00792AB3"/>
    <w:pPr>
      <w:numPr>
        <w:ilvl w:val="6"/>
        <w:numId w:val="60"/>
      </w:numPr>
      <w:tabs>
        <w:tab w:val="num" w:pos="1209"/>
      </w:tabs>
      <w:spacing w:after="240" w:line="276" w:lineRule="auto"/>
      <w:ind w:left="1209" w:hanging="360"/>
    </w:pPr>
    <w:rPr>
      <w:rFonts w:asciiTheme="minorHAnsi" w:eastAsiaTheme="minorHAnsi" w:hAnsiTheme="minorHAnsi" w:cstheme="minorBidi"/>
      <w:sz w:val="20"/>
      <w:szCs w:val="20"/>
    </w:rPr>
  </w:style>
  <w:style w:type="paragraph" w:customStyle="1" w:styleId="Level8Number">
    <w:name w:val="Level 8 Number"/>
    <w:basedOn w:val="BodyText"/>
    <w:uiPriority w:val="19"/>
    <w:rsid w:val="00792AB3"/>
    <w:pPr>
      <w:numPr>
        <w:ilvl w:val="7"/>
        <w:numId w:val="60"/>
      </w:numPr>
      <w:tabs>
        <w:tab w:val="num" w:pos="1209"/>
      </w:tabs>
      <w:spacing w:after="240" w:line="276" w:lineRule="auto"/>
      <w:ind w:left="1209" w:hanging="360"/>
    </w:pPr>
    <w:rPr>
      <w:rFonts w:asciiTheme="minorHAnsi" w:eastAsiaTheme="minorHAnsi" w:hAnsiTheme="minorHAnsi" w:cstheme="minorBidi"/>
      <w:sz w:val="20"/>
      <w:szCs w:val="20"/>
    </w:rPr>
  </w:style>
  <w:style w:type="numbering" w:customStyle="1" w:styleId="MainNumbering">
    <w:name w:val="Main Numbering"/>
    <w:uiPriority w:val="99"/>
    <w:rsid w:val="00792AB3"/>
    <w:pPr>
      <w:numPr>
        <w:numId w:val="60"/>
      </w:numPr>
    </w:pPr>
  </w:style>
  <w:style w:type="paragraph" w:styleId="BodyText">
    <w:name w:val="Body Text"/>
    <w:basedOn w:val="Normal"/>
    <w:link w:val="BodyTextChar"/>
    <w:uiPriority w:val="99"/>
    <w:semiHidden/>
    <w:unhideWhenUsed/>
    <w:rsid w:val="00792AB3"/>
    <w:pPr>
      <w:spacing w:after="120"/>
    </w:pPr>
  </w:style>
  <w:style w:type="character" w:customStyle="1" w:styleId="BodyTextChar">
    <w:name w:val="Body Text Char"/>
    <w:basedOn w:val="DefaultParagraphFont"/>
    <w:link w:val="BodyText"/>
    <w:uiPriority w:val="99"/>
    <w:semiHidden/>
    <w:rsid w:val="00792AB3"/>
    <w:rPr>
      <w:rFonts w:ascii="Arial" w:hAnsi="Arial" w:cs="Arial"/>
      <w:color w:val="auto"/>
    </w:rPr>
  </w:style>
  <w:style w:type="paragraph" w:customStyle="1" w:styleId="BodyText1">
    <w:name w:val="Body Text 1"/>
    <w:basedOn w:val="BodyText"/>
    <w:link w:val="BodyText1Char"/>
    <w:uiPriority w:val="19"/>
    <w:qFormat/>
    <w:rsid w:val="00792AB3"/>
    <w:pPr>
      <w:spacing w:after="240" w:line="276" w:lineRule="auto"/>
      <w:ind w:left="720"/>
    </w:pPr>
    <w:rPr>
      <w:rFonts w:asciiTheme="minorHAnsi" w:eastAsiaTheme="minorHAnsi" w:hAnsiTheme="minorHAnsi" w:cstheme="minorBidi"/>
      <w:sz w:val="20"/>
      <w:szCs w:val="20"/>
    </w:rPr>
  </w:style>
  <w:style w:type="character" w:customStyle="1" w:styleId="BodyText1Char">
    <w:name w:val="Body Text 1 Char"/>
    <w:basedOn w:val="BodyTextChar"/>
    <w:link w:val="BodyText1"/>
    <w:uiPriority w:val="19"/>
    <w:rsid w:val="00792AB3"/>
    <w:rPr>
      <w:rFonts w:asciiTheme="minorHAnsi" w:eastAsiaTheme="minorHAnsi" w:hAnsiTheme="minorHAnsi" w:cstheme="minorBid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415">
      <w:bodyDiv w:val="1"/>
      <w:marLeft w:val="0"/>
      <w:marRight w:val="0"/>
      <w:marTop w:val="0"/>
      <w:marBottom w:val="0"/>
      <w:divBdr>
        <w:top w:val="none" w:sz="0" w:space="0" w:color="auto"/>
        <w:left w:val="none" w:sz="0" w:space="0" w:color="auto"/>
        <w:bottom w:val="none" w:sz="0" w:space="0" w:color="auto"/>
        <w:right w:val="none" w:sz="0" w:space="0" w:color="auto"/>
      </w:divBdr>
    </w:div>
    <w:div w:id="209810371">
      <w:bodyDiv w:val="1"/>
      <w:marLeft w:val="0"/>
      <w:marRight w:val="0"/>
      <w:marTop w:val="0"/>
      <w:marBottom w:val="0"/>
      <w:divBdr>
        <w:top w:val="none" w:sz="0" w:space="0" w:color="auto"/>
        <w:left w:val="none" w:sz="0" w:space="0" w:color="auto"/>
        <w:bottom w:val="none" w:sz="0" w:space="0" w:color="auto"/>
        <w:right w:val="none" w:sz="0" w:space="0" w:color="auto"/>
      </w:divBdr>
    </w:div>
    <w:div w:id="349718106">
      <w:bodyDiv w:val="1"/>
      <w:marLeft w:val="0"/>
      <w:marRight w:val="0"/>
      <w:marTop w:val="0"/>
      <w:marBottom w:val="0"/>
      <w:divBdr>
        <w:top w:val="none" w:sz="0" w:space="0" w:color="auto"/>
        <w:left w:val="none" w:sz="0" w:space="0" w:color="auto"/>
        <w:bottom w:val="none" w:sz="0" w:space="0" w:color="auto"/>
        <w:right w:val="none" w:sz="0" w:space="0" w:color="auto"/>
      </w:divBdr>
    </w:div>
    <w:div w:id="629242922">
      <w:bodyDiv w:val="1"/>
      <w:marLeft w:val="0"/>
      <w:marRight w:val="0"/>
      <w:marTop w:val="0"/>
      <w:marBottom w:val="0"/>
      <w:divBdr>
        <w:top w:val="none" w:sz="0" w:space="0" w:color="auto"/>
        <w:left w:val="none" w:sz="0" w:space="0" w:color="auto"/>
        <w:bottom w:val="none" w:sz="0" w:space="0" w:color="auto"/>
        <w:right w:val="none" w:sz="0" w:space="0" w:color="auto"/>
      </w:divBdr>
      <w:divsChild>
        <w:div w:id="212816943">
          <w:marLeft w:val="0"/>
          <w:marRight w:val="0"/>
          <w:marTop w:val="0"/>
          <w:marBottom w:val="0"/>
          <w:divBdr>
            <w:top w:val="none" w:sz="0" w:space="0" w:color="auto"/>
            <w:left w:val="none" w:sz="0" w:space="0" w:color="auto"/>
            <w:bottom w:val="none" w:sz="0" w:space="0" w:color="auto"/>
            <w:right w:val="none" w:sz="0" w:space="0" w:color="auto"/>
          </w:divBdr>
          <w:divsChild>
            <w:div w:id="1913656105">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646738694">
      <w:bodyDiv w:val="1"/>
      <w:marLeft w:val="0"/>
      <w:marRight w:val="0"/>
      <w:marTop w:val="0"/>
      <w:marBottom w:val="0"/>
      <w:divBdr>
        <w:top w:val="none" w:sz="0" w:space="0" w:color="auto"/>
        <w:left w:val="none" w:sz="0" w:space="0" w:color="auto"/>
        <w:bottom w:val="none" w:sz="0" w:space="0" w:color="auto"/>
        <w:right w:val="none" w:sz="0" w:space="0" w:color="auto"/>
      </w:divBdr>
      <w:divsChild>
        <w:div w:id="1337149840">
          <w:marLeft w:val="0"/>
          <w:marRight w:val="0"/>
          <w:marTop w:val="0"/>
          <w:marBottom w:val="0"/>
          <w:divBdr>
            <w:top w:val="none" w:sz="0" w:space="0" w:color="auto"/>
            <w:left w:val="none" w:sz="0" w:space="0" w:color="auto"/>
            <w:bottom w:val="none" w:sz="0" w:space="0" w:color="auto"/>
            <w:right w:val="none" w:sz="0" w:space="0" w:color="auto"/>
          </w:divBdr>
          <w:divsChild>
            <w:div w:id="947472184">
              <w:marLeft w:val="0"/>
              <w:marRight w:val="0"/>
              <w:marTop w:val="0"/>
              <w:marBottom w:val="0"/>
              <w:divBdr>
                <w:top w:val="none" w:sz="0" w:space="0" w:color="auto"/>
                <w:left w:val="none" w:sz="0" w:space="0" w:color="auto"/>
                <w:bottom w:val="none" w:sz="0" w:space="0" w:color="auto"/>
                <w:right w:val="none" w:sz="0" w:space="0" w:color="auto"/>
              </w:divBdr>
              <w:divsChild>
                <w:div w:id="38363971">
                  <w:marLeft w:val="0"/>
                  <w:marRight w:val="0"/>
                  <w:marTop w:val="0"/>
                  <w:marBottom w:val="0"/>
                  <w:divBdr>
                    <w:top w:val="none" w:sz="0" w:space="0" w:color="auto"/>
                    <w:left w:val="none" w:sz="0" w:space="0" w:color="auto"/>
                    <w:bottom w:val="none" w:sz="0" w:space="0" w:color="auto"/>
                    <w:right w:val="none" w:sz="0" w:space="0" w:color="auto"/>
                  </w:divBdr>
                  <w:divsChild>
                    <w:div w:id="956647025">
                      <w:marLeft w:val="-450"/>
                      <w:marRight w:val="0"/>
                      <w:marTop w:val="0"/>
                      <w:marBottom w:val="0"/>
                      <w:divBdr>
                        <w:top w:val="none" w:sz="0" w:space="0" w:color="auto"/>
                        <w:left w:val="none" w:sz="0" w:space="0" w:color="auto"/>
                        <w:bottom w:val="none" w:sz="0" w:space="0" w:color="auto"/>
                        <w:right w:val="none" w:sz="0" w:space="0" w:color="auto"/>
                      </w:divBdr>
                      <w:divsChild>
                        <w:div w:id="1304038415">
                          <w:marLeft w:val="0"/>
                          <w:marRight w:val="0"/>
                          <w:marTop w:val="0"/>
                          <w:marBottom w:val="0"/>
                          <w:divBdr>
                            <w:top w:val="none" w:sz="0" w:space="0" w:color="auto"/>
                            <w:left w:val="none" w:sz="0" w:space="0" w:color="auto"/>
                            <w:bottom w:val="none" w:sz="0" w:space="0" w:color="auto"/>
                            <w:right w:val="none" w:sz="0" w:space="0" w:color="auto"/>
                          </w:divBdr>
                          <w:divsChild>
                            <w:div w:id="766117160">
                              <w:marLeft w:val="-450"/>
                              <w:marRight w:val="0"/>
                              <w:marTop w:val="0"/>
                              <w:marBottom w:val="0"/>
                              <w:divBdr>
                                <w:top w:val="none" w:sz="0" w:space="0" w:color="auto"/>
                                <w:left w:val="none" w:sz="0" w:space="0" w:color="auto"/>
                                <w:bottom w:val="none" w:sz="0" w:space="0" w:color="auto"/>
                                <w:right w:val="none" w:sz="0" w:space="0" w:color="auto"/>
                              </w:divBdr>
                              <w:divsChild>
                                <w:div w:id="3574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650031">
      <w:bodyDiv w:val="1"/>
      <w:marLeft w:val="0"/>
      <w:marRight w:val="0"/>
      <w:marTop w:val="0"/>
      <w:marBottom w:val="0"/>
      <w:divBdr>
        <w:top w:val="none" w:sz="0" w:space="0" w:color="auto"/>
        <w:left w:val="none" w:sz="0" w:space="0" w:color="auto"/>
        <w:bottom w:val="none" w:sz="0" w:space="0" w:color="auto"/>
        <w:right w:val="none" w:sz="0" w:space="0" w:color="auto"/>
      </w:divBdr>
    </w:div>
    <w:div w:id="726270881">
      <w:bodyDiv w:val="1"/>
      <w:marLeft w:val="0"/>
      <w:marRight w:val="0"/>
      <w:marTop w:val="0"/>
      <w:marBottom w:val="0"/>
      <w:divBdr>
        <w:top w:val="none" w:sz="0" w:space="0" w:color="auto"/>
        <w:left w:val="none" w:sz="0" w:space="0" w:color="auto"/>
        <w:bottom w:val="none" w:sz="0" w:space="0" w:color="auto"/>
        <w:right w:val="none" w:sz="0" w:space="0" w:color="auto"/>
      </w:divBdr>
      <w:divsChild>
        <w:div w:id="1777627652">
          <w:marLeft w:val="0"/>
          <w:marRight w:val="0"/>
          <w:marTop w:val="0"/>
          <w:marBottom w:val="0"/>
          <w:divBdr>
            <w:top w:val="none" w:sz="0" w:space="0" w:color="auto"/>
            <w:left w:val="none" w:sz="0" w:space="0" w:color="auto"/>
            <w:bottom w:val="none" w:sz="0" w:space="0" w:color="auto"/>
            <w:right w:val="none" w:sz="0" w:space="0" w:color="auto"/>
          </w:divBdr>
          <w:divsChild>
            <w:div w:id="480925925">
              <w:marLeft w:val="0"/>
              <w:marRight w:val="0"/>
              <w:marTop w:val="0"/>
              <w:marBottom w:val="0"/>
              <w:divBdr>
                <w:top w:val="none" w:sz="0" w:space="0" w:color="auto"/>
                <w:left w:val="none" w:sz="0" w:space="0" w:color="auto"/>
                <w:bottom w:val="none" w:sz="0" w:space="0" w:color="auto"/>
                <w:right w:val="none" w:sz="0" w:space="0" w:color="auto"/>
              </w:divBdr>
              <w:divsChild>
                <w:div w:id="572278740">
                  <w:marLeft w:val="0"/>
                  <w:marRight w:val="0"/>
                  <w:marTop w:val="0"/>
                  <w:marBottom w:val="0"/>
                  <w:divBdr>
                    <w:top w:val="none" w:sz="0" w:space="0" w:color="auto"/>
                    <w:left w:val="none" w:sz="0" w:space="0" w:color="auto"/>
                    <w:bottom w:val="none" w:sz="0" w:space="0" w:color="auto"/>
                    <w:right w:val="none" w:sz="0" w:space="0" w:color="auto"/>
                  </w:divBdr>
                  <w:divsChild>
                    <w:div w:id="74667098">
                      <w:marLeft w:val="-450"/>
                      <w:marRight w:val="0"/>
                      <w:marTop w:val="0"/>
                      <w:marBottom w:val="0"/>
                      <w:divBdr>
                        <w:top w:val="none" w:sz="0" w:space="0" w:color="auto"/>
                        <w:left w:val="none" w:sz="0" w:space="0" w:color="auto"/>
                        <w:bottom w:val="none" w:sz="0" w:space="0" w:color="auto"/>
                        <w:right w:val="none" w:sz="0" w:space="0" w:color="auto"/>
                      </w:divBdr>
                      <w:divsChild>
                        <w:div w:id="1731805115">
                          <w:marLeft w:val="0"/>
                          <w:marRight w:val="0"/>
                          <w:marTop w:val="0"/>
                          <w:marBottom w:val="0"/>
                          <w:divBdr>
                            <w:top w:val="none" w:sz="0" w:space="0" w:color="auto"/>
                            <w:left w:val="none" w:sz="0" w:space="0" w:color="auto"/>
                            <w:bottom w:val="none" w:sz="0" w:space="0" w:color="auto"/>
                            <w:right w:val="none" w:sz="0" w:space="0" w:color="auto"/>
                          </w:divBdr>
                          <w:divsChild>
                            <w:div w:id="30108415">
                              <w:marLeft w:val="-450"/>
                              <w:marRight w:val="0"/>
                              <w:marTop w:val="0"/>
                              <w:marBottom w:val="0"/>
                              <w:divBdr>
                                <w:top w:val="none" w:sz="0" w:space="0" w:color="auto"/>
                                <w:left w:val="none" w:sz="0" w:space="0" w:color="auto"/>
                                <w:bottom w:val="none" w:sz="0" w:space="0" w:color="auto"/>
                                <w:right w:val="none" w:sz="0" w:space="0" w:color="auto"/>
                              </w:divBdr>
                              <w:divsChild>
                                <w:div w:id="11119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47331">
      <w:bodyDiv w:val="1"/>
      <w:marLeft w:val="0"/>
      <w:marRight w:val="0"/>
      <w:marTop w:val="0"/>
      <w:marBottom w:val="0"/>
      <w:divBdr>
        <w:top w:val="none" w:sz="0" w:space="0" w:color="auto"/>
        <w:left w:val="none" w:sz="0" w:space="0" w:color="auto"/>
        <w:bottom w:val="none" w:sz="0" w:space="0" w:color="auto"/>
        <w:right w:val="none" w:sz="0" w:space="0" w:color="auto"/>
      </w:divBdr>
    </w:div>
    <w:div w:id="932516930">
      <w:bodyDiv w:val="1"/>
      <w:marLeft w:val="0"/>
      <w:marRight w:val="0"/>
      <w:marTop w:val="0"/>
      <w:marBottom w:val="0"/>
      <w:divBdr>
        <w:top w:val="none" w:sz="0" w:space="0" w:color="auto"/>
        <w:left w:val="none" w:sz="0" w:space="0" w:color="auto"/>
        <w:bottom w:val="none" w:sz="0" w:space="0" w:color="auto"/>
        <w:right w:val="none" w:sz="0" w:space="0" w:color="auto"/>
      </w:divBdr>
    </w:div>
    <w:div w:id="1011760939">
      <w:bodyDiv w:val="1"/>
      <w:marLeft w:val="0"/>
      <w:marRight w:val="0"/>
      <w:marTop w:val="0"/>
      <w:marBottom w:val="0"/>
      <w:divBdr>
        <w:top w:val="none" w:sz="0" w:space="0" w:color="auto"/>
        <w:left w:val="none" w:sz="0" w:space="0" w:color="auto"/>
        <w:bottom w:val="none" w:sz="0" w:space="0" w:color="auto"/>
        <w:right w:val="none" w:sz="0" w:space="0" w:color="auto"/>
      </w:divBdr>
    </w:div>
    <w:div w:id="1178302859">
      <w:bodyDiv w:val="1"/>
      <w:marLeft w:val="0"/>
      <w:marRight w:val="0"/>
      <w:marTop w:val="0"/>
      <w:marBottom w:val="0"/>
      <w:divBdr>
        <w:top w:val="none" w:sz="0" w:space="0" w:color="auto"/>
        <w:left w:val="none" w:sz="0" w:space="0" w:color="auto"/>
        <w:bottom w:val="none" w:sz="0" w:space="0" w:color="auto"/>
        <w:right w:val="none" w:sz="0" w:space="0" w:color="auto"/>
      </w:divBdr>
    </w:div>
    <w:div w:id="1208954499">
      <w:bodyDiv w:val="1"/>
      <w:marLeft w:val="0"/>
      <w:marRight w:val="0"/>
      <w:marTop w:val="0"/>
      <w:marBottom w:val="0"/>
      <w:divBdr>
        <w:top w:val="none" w:sz="0" w:space="0" w:color="auto"/>
        <w:left w:val="none" w:sz="0" w:space="0" w:color="auto"/>
        <w:bottom w:val="none" w:sz="0" w:space="0" w:color="auto"/>
        <w:right w:val="none" w:sz="0" w:space="0" w:color="auto"/>
      </w:divBdr>
      <w:divsChild>
        <w:div w:id="158472829">
          <w:marLeft w:val="0"/>
          <w:marRight w:val="0"/>
          <w:marTop w:val="0"/>
          <w:marBottom w:val="0"/>
          <w:divBdr>
            <w:top w:val="none" w:sz="0" w:space="0" w:color="auto"/>
            <w:left w:val="none" w:sz="0" w:space="0" w:color="auto"/>
            <w:bottom w:val="none" w:sz="0" w:space="0" w:color="auto"/>
            <w:right w:val="none" w:sz="0" w:space="0" w:color="auto"/>
          </w:divBdr>
          <w:divsChild>
            <w:div w:id="988439502">
              <w:marLeft w:val="0"/>
              <w:marRight w:val="0"/>
              <w:marTop w:val="0"/>
              <w:marBottom w:val="0"/>
              <w:divBdr>
                <w:top w:val="none" w:sz="0" w:space="0" w:color="auto"/>
                <w:left w:val="none" w:sz="0" w:space="0" w:color="auto"/>
                <w:bottom w:val="none" w:sz="0" w:space="0" w:color="auto"/>
                <w:right w:val="none" w:sz="0" w:space="0" w:color="auto"/>
              </w:divBdr>
              <w:divsChild>
                <w:div w:id="1395205040">
                  <w:marLeft w:val="0"/>
                  <w:marRight w:val="0"/>
                  <w:marTop w:val="0"/>
                  <w:marBottom w:val="0"/>
                  <w:divBdr>
                    <w:top w:val="none" w:sz="0" w:space="0" w:color="auto"/>
                    <w:left w:val="none" w:sz="0" w:space="0" w:color="auto"/>
                    <w:bottom w:val="none" w:sz="0" w:space="0" w:color="auto"/>
                    <w:right w:val="none" w:sz="0" w:space="0" w:color="auto"/>
                  </w:divBdr>
                  <w:divsChild>
                    <w:div w:id="1292516418">
                      <w:marLeft w:val="0"/>
                      <w:marRight w:val="0"/>
                      <w:marTop w:val="0"/>
                      <w:marBottom w:val="0"/>
                      <w:divBdr>
                        <w:top w:val="none" w:sz="0" w:space="0" w:color="auto"/>
                        <w:left w:val="none" w:sz="0" w:space="0" w:color="auto"/>
                        <w:bottom w:val="none" w:sz="0" w:space="0" w:color="auto"/>
                        <w:right w:val="none" w:sz="0" w:space="0" w:color="auto"/>
                      </w:divBdr>
                      <w:divsChild>
                        <w:div w:id="30768539">
                          <w:marLeft w:val="0"/>
                          <w:marRight w:val="0"/>
                          <w:marTop w:val="0"/>
                          <w:marBottom w:val="0"/>
                          <w:divBdr>
                            <w:top w:val="none" w:sz="0" w:space="0" w:color="auto"/>
                            <w:left w:val="none" w:sz="0" w:space="0" w:color="auto"/>
                            <w:bottom w:val="none" w:sz="0" w:space="0" w:color="auto"/>
                            <w:right w:val="none" w:sz="0" w:space="0" w:color="auto"/>
                          </w:divBdr>
                          <w:divsChild>
                            <w:div w:id="864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961765">
      <w:bodyDiv w:val="1"/>
      <w:marLeft w:val="0"/>
      <w:marRight w:val="0"/>
      <w:marTop w:val="0"/>
      <w:marBottom w:val="0"/>
      <w:divBdr>
        <w:top w:val="none" w:sz="0" w:space="0" w:color="auto"/>
        <w:left w:val="none" w:sz="0" w:space="0" w:color="auto"/>
        <w:bottom w:val="none" w:sz="0" w:space="0" w:color="auto"/>
        <w:right w:val="none" w:sz="0" w:space="0" w:color="auto"/>
      </w:divBdr>
    </w:div>
    <w:div w:id="1430127549">
      <w:bodyDiv w:val="1"/>
      <w:marLeft w:val="0"/>
      <w:marRight w:val="0"/>
      <w:marTop w:val="0"/>
      <w:marBottom w:val="0"/>
      <w:divBdr>
        <w:top w:val="none" w:sz="0" w:space="0" w:color="auto"/>
        <w:left w:val="none" w:sz="0" w:space="0" w:color="auto"/>
        <w:bottom w:val="none" w:sz="0" w:space="0" w:color="auto"/>
        <w:right w:val="none" w:sz="0" w:space="0" w:color="auto"/>
      </w:divBdr>
    </w:div>
    <w:div w:id="1531532557">
      <w:bodyDiv w:val="1"/>
      <w:marLeft w:val="0"/>
      <w:marRight w:val="0"/>
      <w:marTop w:val="0"/>
      <w:marBottom w:val="0"/>
      <w:divBdr>
        <w:top w:val="none" w:sz="0" w:space="0" w:color="auto"/>
        <w:left w:val="none" w:sz="0" w:space="0" w:color="auto"/>
        <w:bottom w:val="none" w:sz="0" w:space="0" w:color="auto"/>
        <w:right w:val="none" w:sz="0" w:space="0" w:color="auto"/>
      </w:divBdr>
    </w:div>
    <w:div w:id="2021664177">
      <w:bodyDiv w:val="1"/>
      <w:marLeft w:val="0"/>
      <w:marRight w:val="0"/>
      <w:marTop w:val="0"/>
      <w:marBottom w:val="0"/>
      <w:divBdr>
        <w:top w:val="none" w:sz="0" w:space="0" w:color="auto"/>
        <w:left w:val="none" w:sz="0" w:space="0" w:color="auto"/>
        <w:bottom w:val="none" w:sz="0" w:space="0" w:color="auto"/>
        <w:right w:val="none" w:sz="0" w:space="0" w:color="auto"/>
      </w:divBdr>
    </w:div>
    <w:div w:id="2105567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arolynthurstonsmith@lawscot.org.uk"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updates-to-the-cmas-mergers-procedural-guidelines-cma2-and-cma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85</Value>
    </TaxCatchAll>
    <_dlc_DocId xmlns="3595a3b4-95e1-40b3-9976-0da52ff3c1d6">73WM5REP3J34-430527378-2735</_dlc_DocId>
    <_dlc_DocIdUrl xmlns="3595a3b4-95e1-40b3-9976-0da52ff3c1d6">
      <Url>http://thehub/teams/externalrelations/policy/_layouts/15/DocIdRedir.aspx?ID=73WM5REP3J34-430527378-2735</Url>
      <Description>73WM5REP3J34-430527378-2735</Description>
    </_dlc_DocIdUrl>
    <DocumentType xmlns="3595a3b4-95e1-40b3-9976-0da52ff3c1d6">Prof support</DocumentType>
    <BWMembersRecord xmlns="3595a3b4-95e1-40b3-9976-0da52ff3c1d6">No</BWMembersRecord>
    <BWPersonalInfo xmlns="3595a3b4-95e1-40b3-9976-0da52ff3c1d6">No</BWPersonalInfo>
  </documentManagement>
</p:properties>
</file>

<file path=customXml/item4.xml><?xml version="1.0" encoding="utf-8"?>
<ct:contentTypeSchema xmlns:ct="http://schemas.microsoft.com/office/2006/metadata/contentType" xmlns:ma="http://schemas.microsoft.com/office/2006/metadata/properties/metaAttributes" ct:_="" ma:_="" ma:contentTypeName="Formal Document" ma:contentTypeID="0x010100F6C9EF00BFCE744FB82DB39B849666BF0300C49328BEF569C84AA882C1C2877A1118" ma:contentTypeVersion="21" ma:contentTypeDescription="Create a new document." ma:contentTypeScope="" ma:versionID="4f993ed64510ef082b48fb703a0f28e7">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1B29C-7A36-46EB-9899-20AF6A54B02F}">
  <ds:schemaRefs>
    <ds:schemaRef ds:uri="http://schemas.microsoft.com/sharepoint/events"/>
  </ds:schemaRefs>
</ds:datastoreItem>
</file>

<file path=customXml/itemProps2.xml><?xml version="1.0" encoding="utf-8"?>
<ds:datastoreItem xmlns:ds="http://schemas.openxmlformats.org/officeDocument/2006/customXml" ds:itemID="{B5DA0A02-C0DF-42C3-801F-843E0450934B}">
  <ds:schemaRefs>
    <ds:schemaRef ds:uri="http://schemas.microsoft.com/sharepoint/v3/contenttype/forms"/>
  </ds:schemaRefs>
</ds:datastoreItem>
</file>

<file path=customXml/itemProps3.xml><?xml version="1.0" encoding="utf-8"?>
<ds:datastoreItem xmlns:ds="http://schemas.openxmlformats.org/officeDocument/2006/customXml" ds:itemID="{43E4E428-A19A-4D5B-B502-CDA8BBCB3B3B}">
  <ds:schemaRefs>
    <ds:schemaRef ds:uri="c580686b-3c78-40fc-8280-257271cf61a5"/>
    <ds:schemaRef ds:uri="http://www.w3.org/XML/1998/namespace"/>
    <ds:schemaRef ds:uri="http://schemas.microsoft.com/office/2006/documentManagement/types"/>
    <ds:schemaRef ds:uri="3595a3b4-95e1-40b3-9976-0da52ff3c1d6"/>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3896D3D-2E22-47FC-954D-42C03610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E4DBF2-AC82-4E77-AD14-92337E1C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Thurston Smith</dc:creator>
  <cp:lastModifiedBy>Carolyn Thurston Smith</cp:lastModifiedBy>
  <cp:revision>5</cp:revision>
  <cp:lastPrinted>2020-02-07T16:50:00Z</cp:lastPrinted>
  <dcterms:created xsi:type="dcterms:W3CDTF">2020-12-04T13:06:00Z</dcterms:created>
  <dcterms:modified xsi:type="dcterms:W3CDTF">2020-12-04T13:29:00Z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38901593v1</vt:lpwstr>
  </property>
  <property fmtid="{D5CDD505-2E9C-101B-9397-08002B2CF9AE}" pid="3" name="ContentTypeId">
    <vt:lpwstr>0x010100F6C9EF00BFCE744FB82DB39B849666BF0300C49328BEF569C84AA882C1C2877A1118</vt:lpwstr>
  </property>
  <property fmtid="{D5CDD505-2E9C-101B-9397-08002B2CF9AE}" pid="4" name="Directorate">
    <vt:lpwstr>85;#Policy|aecfea83-9977-479d-b767-7534296e6eb4</vt:lpwstr>
  </property>
  <property fmtid="{D5CDD505-2E9C-101B-9397-08002B2CF9AE}" pid="5" name="_dlc_DocIdItemGuid">
    <vt:lpwstr>edf3fed2-ea06-4c61-829b-857c7d0fd948</vt:lpwstr>
  </property>
  <property fmtid="{D5CDD505-2E9C-101B-9397-08002B2CF9AE}" pid="6" name="Committee">
    <vt:lpwstr/>
  </property>
</Properties>
</file>