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358A67E5" w:rsidR="00095D94" w:rsidRPr="009B2CB1" w:rsidRDefault="0001478A" w:rsidP="00222D2E">
      <w:pPr>
        <w:pStyle w:val="LSSCover1"/>
      </w:pPr>
      <w:r>
        <w:t>Consultation response</w:t>
      </w:r>
    </w:p>
    <w:p w14:paraId="54A71919" w14:textId="77777777" w:rsidR="0001478A" w:rsidRDefault="0001478A" w:rsidP="00607112">
      <w:pPr>
        <w:pStyle w:val="NoSpacing"/>
        <w:rPr>
          <w:bCs/>
          <w:color w:val="FFFFFF"/>
          <w:sz w:val="44"/>
          <w:szCs w:val="44"/>
          <w:lang w:val="en-GB"/>
        </w:rPr>
      </w:pPr>
    </w:p>
    <w:p w14:paraId="23328916" w14:textId="2BC29C39" w:rsidR="00D11884" w:rsidRPr="00F21DC8" w:rsidRDefault="00F21DC8" w:rsidP="00D11884">
      <w:pPr>
        <w:pStyle w:val="NoSpacing"/>
        <w:spacing w:line="276" w:lineRule="auto"/>
        <w:rPr>
          <w:bCs/>
          <w:color w:val="FFFFFF"/>
          <w:sz w:val="44"/>
          <w:szCs w:val="44"/>
          <w:lang w:val="en-GB"/>
        </w:rPr>
      </w:pPr>
      <w:r w:rsidRPr="00F21DC8">
        <w:rPr>
          <w:sz w:val="44"/>
          <w:szCs w:val="44"/>
        </w:rPr>
        <w:t>Improving outcomes for members of defined contribution pensions schemes</w:t>
      </w:r>
      <w:r w:rsidRPr="00F21DC8">
        <w:rPr>
          <w:bCs/>
          <w:color w:val="FFFFFF"/>
          <w:sz w:val="44"/>
          <w:szCs w:val="44"/>
          <w:lang w:val="en-GB"/>
        </w:rPr>
        <w:t xml:space="preserve"> </w:t>
      </w:r>
    </w:p>
    <w:p w14:paraId="6E799DC6" w14:textId="6D77AB8D" w:rsidR="0025503C" w:rsidRDefault="00F21DC8" w:rsidP="00607112">
      <w:pPr>
        <w:pStyle w:val="NoSpacing"/>
      </w:pPr>
      <w:r w:rsidRPr="00F21DC8">
        <w:t>30 October</w:t>
      </w:r>
      <w:r w:rsidR="001602DC" w:rsidRPr="00F21DC8">
        <w:t xml:space="preserve"> </w:t>
      </w:r>
      <w:r w:rsidR="00404885" w:rsidRPr="00F21DC8">
        <w:t>2020</w:t>
      </w:r>
    </w:p>
    <w:p w14:paraId="3F700648" w14:textId="77777777" w:rsidR="00540507" w:rsidRDefault="00540507" w:rsidP="004A1254"/>
    <w:p w14:paraId="6E799DC7" w14:textId="31347941" w:rsidR="00540507" w:rsidRDefault="00540507" w:rsidP="004A1254">
      <w:pPr>
        <w:sectPr w:rsidR="00540507"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6814A20B" w14:textId="03532DF4" w:rsidR="00D11884" w:rsidRDefault="004634B5" w:rsidP="00D11884">
      <w:r>
        <w:t xml:space="preserve">Our </w:t>
      </w:r>
      <w:r w:rsidR="0028561C">
        <w:t>Pensions Law</w:t>
      </w:r>
      <w:r>
        <w:t xml:space="preserve"> Sub-committee</w:t>
      </w:r>
      <w:r w:rsidR="00917D24">
        <w:t xml:space="preserve"> </w:t>
      </w:r>
      <w:r w:rsidR="00CE36DA">
        <w:t>welcome</w:t>
      </w:r>
      <w:r w:rsidR="00917D24">
        <w:t>s</w:t>
      </w:r>
      <w:r w:rsidR="00CE36DA">
        <w:t xml:space="preserve"> the opportunity to </w:t>
      </w:r>
      <w:r w:rsidR="00E912F3">
        <w:t xml:space="preserve">respond to </w:t>
      </w:r>
      <w:r w:rsidR="00917D24">
        <w:t xml:space="preserve">the </w:t>
      </w:r>
      <w:r w:rsidR="0028561C">
        <w:t xml:space="preserve">UK Government’s consultation on </w:t>
      </w:r>
      <w:r w:rsidR="0028561C" w:rsidRPr="00F21DC8">
        <w:rPr>
          <w:i/>
          <w:iCs/>
        </w:rPr>
        <w:t>Improving outcomes for members of defined contribution pensions schemes</w:t>
      </w:r>
      <w:r>
        <w:t>.</w:t>
      </w:r>
      <w:r w:rsidR="0028561C">
        <w:rPr>
          <w:rStyle w:val="FootnoteReference"/>
        </w:rPr>
        <w:footnoteReference w:id="2"/>
      </w:r>
      <w:r>
        <w:t xml:space="preserve"> </w:t>
      </w:r>
      <w:r w:rsidR="00EC6A00">
        <w:t>We</w:t>
      </w:r>
      <w:r w:rsidR="00CE36DA">
        <w:t xml:space="preserve"> ha</w:t>
      </w:r>
      <w:r w:rsidR="00EC6A00">
        <w:t>ve</w:t>
      </w:r>
      <w:r w:rsidR="00CE36DA">
        <w:t xml:space="preserve"> the following comments to put forward for consideration.</w:t>
      </w:r>
      <w:r w:rsidR="003614D4" w:rsidRPr="003614D4">
        <w:t xml:space="preserve"> </w:t>
      </w:r>
    </w:p>
    <w:p w14:paraId="2916A044" w14:textId="77777777" w:rsidR="00C71E54" w:rsidRDefault="00C71E54" w:rsidP="00D11884"/>
    <w:p w14:paraId="7A9961ED" w14:textId="196ECE5C" w:rsidR="00D11884" w:rsidRPr="00766E45" w:rsidRDefault="00C71E54" w:rsidP="00D11884">
      <w:pPr>
        <w:pStyle w:val="LSSChapt1"/>
      </w:pPr>
      <w:r>
        <w:t>Response to questions</w:t>
      </w:r>
    </w:p>
    <w:p w14:paraId="7E3C0469" w14:textId="7980A813" w:rsidR="0028561C" w:rsidRDefault="0028561C" w:rsidP="0028561C">
      <w:pPr>
        <w:rPr>
          <w:b/>
          <w:bCs/>
          <w:color w:val="002C5C"/>
          <w:sz w:val="24"/>
          <w:szCs w:val="24"/>
        </w:rPr>
      </w:pPr>
      <w:r w:rsidRPr="0028561C">
        <w:rPr>
          <w:b/>
          <w:bCs/>
          <w:color w:val="002C5C"/>
          <w:sz w:val="24"/>
          <w:szCs w:val="24"/>
        </w:rPr>
        <w:t>Q1: We would welcome your views on the reporting of net returns – how many past years of net returns figures should be taken into consideration and reported on to give an effective indication of past fund performance?</w:t>
      </w:r>
    </w:p>
    <w:p w14:paraId="35EBA036" w14:textId="118C3DA9" w:rsidR="00E56F21" w:rsidRPr="0028561C" w:rsidRDefault="00C71E54" w:rsidP="0028561C">
      <w:r>
        <w:t>We consider that five</w:t>
      </w:r>
      <w:r w:rsidR="00C20F4C">
        <w:t xml:space="preserve"> years </w:t>
      </w:r>
      <w:r>
        <w:t>would offer</w:t>
      </w:r>
      <w:r w:rsidR="00C20F4C">
        <w:t xml:space="preserve"> appropriate </w:t>
      </w:r>
      <w:r w:rsidR="00C20F4C">
        <w:t>benchmark.</w:t>
      </w:r>
      <w:r w:rsidR="00E56F21">
        <w:t xml:space="preserve">  A shorter period could be insufficient to understand market volatility.  Where the relevant funds have been in place for less than five years, consideration should be given to the returns to be reported</w:t>
      </w:r>
      <w:r>
        <w:t>:</w:t>
      </w:r>
      <w:r w:rsidR="00E56F21">
        <w:t xml:space="preserve"> evolution of default funds, for example, may necessitate some manipulation of return information to provide a meaningful comparison against the chosen benchmark.</w:t>
      </w:r>
      <w:r>
        <w:t xml:space="preserve"> </w:t>
      </w:r>
      <w:r w:rsidR="00E56F21">
        <w:t>The choice of</w:t>
      </w:r>
      <w:r>
        <w:t xml:space="preserve"> the </w:t>
      </w:r>
      <w:r w:rsidR="00E56F21">
        <w:t>five</w:t>
      </w:r>
      <w:r>
        <w:t>-</w:t>
      </w:r>
      <w:r w:rsidR="00E56F21">
        <w:t>year period could be mandated (</w:t>
      </w:r>
      <w:proofErr w:type="spellStart"/>
      <w:r w:rsidR="00E56F21">
        <w:t>eg</w:t>
      </w:r>
      <w:proofErr w:type="spellEnd"/>
      <w:r w:rsidR="00E56F21">
        <w:t xml:space="preserve"> tax years) to provide consistency between schemes’ reporting information, allowing for easier comparison.</w:t>
      </w:r>
    </w:p>
    <w:p w14:paraId="2B1EF3BF" w14:textId="77777777" w:rsidR="00C71E54" w:rsidRDefault="0028561C" w:rsidP="0028561C">
      <w:pPr>
        <w:rPr>
          <w:b/>
          <w:bCs/>
          <w:color w:val="002C5C"/>
          <w:sz w:val="24"/>
          <w:szCs w:val="24"/>
        </w:rPr>
      </w:pPr>
      <w:r w:rsidRPr="0028561C">
        <w:rPr>
          <w:b/>
          <w:bCs/>
          <w:color w:val="002C5C"/>
          <w:sz w:val="24"/>
          <w:szCs w:val="24"/>
        </w:rPr>
        <w:t>Q2: Do you think that the amending regulations achieve the policy aims of encouraging smaller schemes to consolidate into larger schemes when they do not present optimal value for members?</w:t>
      </w:r>
    </w:p>
    <w:p w14:paraId="48496976" w14:textId="1137EFEC" w:rsidR="0028561C" w:rsidRDefault="00C20F4C" w:rsidP="0028561C">
      <w:r>
        <w:t xml:space="preserve">Forcing trustees to carry out a more detailed </w:t>
      </w:r>
      <w:r w:rsidR="00E56F21">
        <w:t>V</w:t>
      </w:r>
      <w:r>
        <w:t xml:space="preserve">alue </w:t>
      </w:r>
      <w:proofErr w:type="gramStart"/>
      <w:r w:rsidR="00E56F21">
        <w:t>F</w:t>
      </w:r>
      <w:r>
        <w:t>or</w:t>
      </w:r>
      <w:proofErr w:type="gramEnd"/>
      <w:r>
        <w:t xml:space="preserve"> </w:t>
      </w:r>
      <w:r w:rsidR="00E56F21">
        <w:t>M</w:t>
      </w:r>
      <w:r w:rsidR="00AD63F2">
        <w:t>embers</w:t>
      </w:r>
      <w:r>
        <w:t xml:space="preserve"> test, assessed against clear criteria and published in the chair’s statement and online will help focus trustees’ minds on whether consolidation would </w:t>
      </w:r>
      <w:r>
        <w:lastRenderedPageBreak/>
        <w:t>lead to better member outcomes. This should help move assessment of DC sections up the trustee agenda, although it should be noted that these agendas are becoming increasingly crowded for small schemes with lower governance budgets and lack of access to proportionate cost</w:t>
      </w:r>
      <w:r w:rsidR="00C71E54">
        <w:t>-</w:t>
      </w:r>
      <w:r>
        <w:t xml:space="preserve">effective advice. The process of winding up a DC section is not always straight forward, can require </w:t>
      </w:r>
      <w:r w:rsidR="00E56F21">
        <w:t xml:space="preserve">a </w:t>
      </w:r>
      <w:r>
        <w:t>significant amount of time and advice (and therefore cost), which is not always readily available for smaller schemes. This should be reflected in how these regulations are policed in the case of trustees who are taking positive steps to address sub-optimal DC arrangements, even if it takes longer to complete the exercise.</w:t>
      </w:r>
      <w:r w:rsidR="00DB6035">
        <w:t xml:space="preserve"> The success of this policy aim will also rely heavily on their being </w:t>
      </w:r>
      <w:proofErr w:type="gramStart"/>
      <w:r w:rsidR="00DB6035">
        <w:t>sufficient</w:t>
      </w:r>
      <w:proofErr w:type="gramEnd"/>
      <w:r w:rsidR="00DB6035">
        <w:t xml:space="preserve"> appetite among </w:t>
      </w:r>
      <w:proofErr w:type="spellStart"/>
      <w:r w:rsidR="00DB6035">
        <w:t>Mastertrusts</w:t>
      </w:r>
      <w:proofErr w:type="spellEnd"/>
      <w:r w:rsidR="00DB6035">
        <w:t xml:space="preserve"> to take on very small (by number of members) DC arrangements in a cost</w:t>
      </w:r>
      <w:r w:rsidR="00C71E54">
        <w:t>-</w:t>
      </w:r>
      <w:r w:rsidR="00DB6035">
        <w:t>effective way.</w:t>
      </w:r>
    </w:p>
    <w:p w14:paraId="303B1CD5" w14:textId="29FBF4B2" w:rsidR="00AD63F2" w:rsidRPr="0028561C" w:rsidRDefault="00AD63F2" w:rsidP="0028561C">
      <w:r>
        <w:t xml:space="preserve">The proposed threshold of £100m should apply to the DC assets alone, rather than overall scheme assets as many schemes provide both DB and DC arrangements within the same trust. An “overall” threshold would potentially miss </w:t>
      </w:r>
      <w:proofErr w:type="gramStart"/>
      <w:r>
        <w:t>a number of</w:t>
      </w:r>
      <w:proofErr w:type="gramEnd"/>
      <w:r>
        <w:t xml:space="preserve"> small DC sections which could be providing poor value for members.</w:t>
      </w:r>
    </w:p>
    <w:p w14:paraId="21D30914" w14:textId="4FBAA36D" w:rsidR="0028561C" w:rsidRDefault="0028561C" w:rsidP="0028561C">
      <w:pPr>
        <w:rPr>
          <w:b/>
          <w:bCs/>
          <w:color w:val="002C5C"/>
          <w:sz w:val="24"/>
          <w:szCs w:val="24"/>
        </w:rPr>
      </w:pPr>
      <w:r w:rsidRPr="0028561C">
        <w:rPr>
          <w:b/>
          <w:bCs/>
          <w:color w:val="002C5C"/>
          <w:sz w:val="24"/>
          <w:szCs w:val="24"/>
        </w:rPr>
        <w:t>Q3: Do you believe that the statutory guidance increases clarity about the minimum expectations on assessing and reporting on value for members for specified schemes? Are there any areas where further clarity might be required?</w:t>
      </w:r>
    </w:p>
    <w:p w14:paraId="435F9FFF" w14:textId="3C829E14" w:rsidR="0028561C" w:rsidRPr="0028561C" w:rsidRDefault="0028561C" w:rsidP="0028561C">
      <w:r w:rsidRPr="0028561C">
        <w:t>T</w:t>
      </w:r>
      <w:r w:rsidR="00862888">
        <w:t>he draft guidance is quite comprehensive and provides much needed clarity over minimum expectations</w:t>
      </w:r>
      <w:r w:rsidR="00C71E54">
        <w:t>. H</w:t>
      </w:r>
      <w:r w:rsidR="00862888">
        <w:t>owever</w:t>
      </w:r>
      <w:r w:rsidR="00C71E54">
        <w:t>,</w:t>
      </w:r>
      <w:r w:rsidR="00862888">
        <w:t xml:space="preserve"> it would be helpful to state explicitly that where the scheme in question is hybrid, and in particular where DC benefits are being provided under the same trust as DB benefits, that the assessment considers specifically the management of DC benefits in isolation especially with regards to metric V.</w:t>
      </w:r>
    </w:p>
    <w:p w14:paraId="0EDF7D5E" w14:textId="4CC04F45" w:rsidR="0028561C" w:rsidRDefault="0028561C" w:rsidP="0028561C">
      <w:pPr>
        <w:rPr>
          <w:b/>
          <w:bCs/>
          <w:color w:val="002C5C"/>
          <w:sz w:val="24"/>
          <w:szCs w:val="24"/>
        </w:rPr>
      </w:pPr>
      <w:r w:rsidRPr="0028561C">
        <w:rPr>
          <w:b/>
          <w:bCs/>
          <w:color w:val="002C5C"/>
          <w:sz w:val="24"/>
          <w:szCs w:val="24"/>
        </w:rPr>
        <w:t>Q4: Do the draft regulations achieve the policy intent of providing an easement from the prorating requirement for performance fees which are calculated each time the value of the asset is calculated?</w:t>
      </w:r>
    </w:p>
    <w:p w14:paraId="4689C218" w14:textId="4E10A54C" w:rsidR="0028561C" w:rsidRPr="0028561C" w:rsidRDefault="00C71E54" w:rsidP="0028561C">
      <w:bookmarkStart w:id="0" w:name="_GoBack"/>
      <w:r>
        <w:t>No comment.</w:t>
      </w:r>
    </w:p>
    <w:bookmarkEnd w:id="0"/>
    <w:p w14:paraId="5EDC65C2" w14:textId="12E78321" w:rsidR="0028561C" w:rsidRDefault="0028561C" w:rsidP="0028561C">
      <w:pPr>
        <w:rPr>
          <w:b/>
          <w:bCs/>
          <w:color w:val="002C5C"/>
          <w:sz w:val="24"/>
          <w:szCs w:val="24"/>
        </w:rPr>
      </w:pPr>
      <w:r w:rsidRPr="0028561C">
        <w:rPr>
          <w:b/>
          <w:bCs/>
          <w:color w:val="002C5C"/>
          <w:sz w:val="24"/>
          <w:szCs w:val="24"/>
        </w:rPr>
        <w:t xml:space="preserve">Q5: What should we consider </w:t>
      </w:r>
      <w:proofErr w:type="gramStart"/>
      <w:r w:rsidRPr="0028561C">
        <w:rPr>
          <w:b/>
          <w:bCs/>
          <w:color w:val="002C5C"/>
          <w:sz w:val="24"/>
          <w:szCs w:val="24"/>
        </w:rPr>
        <w:t>to ensure</w:t>
      </w:r>
      <w:proofErr w:type="gramEnd"/>
      <w:r w:rsidRPr="0028561C">
        <w:rPr>
          <w:b/>
          <w:bCs/>
          <w:color w:val="002C5C"/>
          <w:sz w:val="24"/>
          <w:szCs w:val="24"/>
        </w:rPr>
        <w:t xml:space="preserve"> a multi-year approach to calculating performance fees works in practice?</w:t>
      </w:r>
    </w:p>
    <w:p w14:paraId="569E35B8" w14:textId="01CD775E" w:rsidR="0028561C" w:rsidRPr="00C71E54" w:rsidRDefault="00C71E54" w:rsidP="0028561C">
      <w:r>
        <w:t>No comment.</w:t>
      </w:r>
    </w:p>
    <w:p w14:paraId="4838B6F1" w14:textId="0E7FBE8C" w:rsidR="0028561C" w:rsidRDefault="0028561C" w:rsidP="0028561C">
      <w:pPr>
        <w:rPr>
          <w:b/>
          <w:bCs/>
          <w:color w:val="002C5C"/>
          <w:sz w:val="24"/>
          <w:szCs w:val="24"/>
        </w:rPr>
      </w:pPr>
      <w:r w:rsidRPr="0028561C">
        <w:rPr>
          <w:b/>
          <w:bCs/>
          <w:color w:val="002C5C"/>
          <w:sz w:val="24"/>
          <w:szCs w:val="24"/>
        </w:rPr>
        <w:t>Q6: We are proposing a five-year rolling period. Is this appropriate or would another duration be more helpful?</w:t>
      </w:r>
    </w:p>
    <w:p w14:paraId="55BDA726" w14:textId="79E40031" w:rsidR="0028561C" w:rsidRPr="0028561C" w:rsidRDefault="00C71E54" w:rsidP="0028561C">
      <w:pPr>
        <w:rPr>
          <w:b/>
          <w:bCs/>
          <w:color w:val="002C5C"/>
          <w:sz w:val="24"/>
          <w:szCs w:val="24"/>
        </w:rPr>
      </w:pPr>
      <w:r>
        <w:t>No comment.</w:t>
      </w:r>
    </w:p>
    <w:p w14:paraId="42CF11DE" w14:textId="67C22FAC" w:rsidR="0028561C" w:rsidRDefault="0028561C" w:rsidP="0028561C">
      <w:pPr>
        <w:rPr>
          <w:b/>
          <w:bCs/>
          <w:color w:val="002C5C"/>
          <w:sz w:val="24"/>
          <w:szCs w:val="24"/>
        </w:rPr>
      </w:pPr>
      <w:r w:rsidRPr="0028561C">
        <w:rPr>
          <w:b/>
          <w:bCs/>
          <w:color w:val="002C5C"/>
          <w:sz w:val="24"/>
          <w:szCs w:val="24"/>
        </w:rPr>
        <w:t>Q7: We are proposing offering a multi-year option as an alternative to an in-year option for schemes. Do you have any suggestions for how to improve this offer?</w:t>
      </w:r>
    </w:p>
    <w:p w14:paraId="521CBD36" w14:textId="593C2582" w:rsidR="00C71E54" w:rsidRPr="0028561C" w:rsidRDefault="00C71E54" w:rsidP="00C71E54">
      <w:r>
        <w:t>No comment.</w:t>
      </w:r>
    </w:p>
    <w:p w14:paraId="1CED5515" w14:textId="1E2FCD98" w:rsidR="0028561C" w:rsidRDefault="0028561C" w:rsidP="0028561C">
      <w:pPr>
        <w:rPr>
          <w:b/>
          <w:bCs/>
          <w:color w:val="002C5C"/>
          <w:sz w:val="24"/>
          <w:szCs w:val="24"/>
        </w:rPr>
      </w:pPr>
      <w:r w:rsidRPr="0028561C">
        <w:rPr>
          <w:b/>
          <w:bCs/>
          <w:color w:val="002C5C"/>
          <w:sz w:val="24"/>
          <w:szCs w:val="24"/>
        </w:rPr>
        <w:lastRenderedPageBreak/>
        <w:t>Q8: To what extent will providing a multi-year smoothing option give DC trustees more confidence to invest in less liquid assets such as venture capital?</w:t>
      </w:r>
    </w:p>
    <w:p w14:paraId="7304C593" w14:textId="77777777" w:rsidR="00C71E54" w:rsidRPr="0028561C" w:rsidRDefault="00C71E54" w:rsidP="00C71E54">
      <w:r>
        <w:t>No comment.</w:t>
      </w:r>
    </w:p>
    <w:p w14:paraId="23580D06" w14:textId="7C81B2BA" w:rsidR="0028561C" w:rsidRDefault="0028561C" w:rsidP="0028561C">
      <w:pPr>
        <w:rPr>
          <w:b/>
          <w:bCs/>
          <w:color w:val="002C5C"/>
          <w:sz w:val="24"/>
          <w:szCs w:val="24"/>
        </w:rPr>
      </w:pPr>
      <w:r w:rsidRPr="0028561C">
        <w:rPr>
          <w:b/>
          <w:bCs/>
          <w:color w:val="002C5C"/>
          <w:sz w:val="24"/>
          <w:szCs w:val="24"/>
        </w:rPr>
        <w:t>Q9: Do the draft regulations achieve the policy intent? Do you have any comment on the definitions used?</w:t>
      </w:r>
    </w:p>
    <w:p w14:paraId="6A88D3C2" w14:textId="77777777" w:rsidR="00C71E54" w:rsidRPr="0028561C" w:rsidRDefault="00C71E54" w:rsidP="00C71E54">
      <w:r>
        <w:t>No comment.</w:t>
      </w:r>
    </w:p>
    <w:p w14:paraId="2AA60B60" w14:textId="4FB38300" w:rsidR="0028561C" w:rsidRDefault="0028561C" w:rsidP="0028561C">
      <w:pPr>
        <w:rPr>
          <w:b/>
          <w:bCs/>
          <w:color w:val="002C5C"/>
          <w:sz w:val="24"/>
          <w:szCs w:val="24"/>
        </w:rPr>
      </w:pPr>
      <w:r w:rsidRPr="0028561C">
        <w:rPr>
          <w:b/>
          <w:bCs/>
          <w:color w:val="002C5C"/>
          <w:sz w:val="24"/>
          <w:szCs w:val="24"/>
        </w:rPr>
        <w:t>Q10: Do you believe that the updated statutory guidance increases clarity about the minimum expectations on both the production and publication of costs and charges information? Are there any areas where further clarity might be required?</w:t>
      </w:r>
    </w:p>
    <w:p w14:paraId="23C119C8" w14:textId="77777777" w:rsidR="00C71E54" w:rsidRPr="0028561C" w:rsidRDefault="00C71E54" w:rsidP="00C71E54">
      <w:r>
        <w:t>No comment.</w:t>
      </w:r>
    </w:p>
    <w:p w14:paraId="436D6FF1" w14:textId="77777777" w:rsidR="0028561C" w:rsidRPr="0028561C" w:rsidRDefault="0028561C" w:rsidP="0028561C">
      <w:pPr>
        <w:rPr>
          <w:b/>
          <w:bCs/>
          <w:color w:val="002C5C"/>
          <w:sz w:val="24"/>
          <w:szCs w:val="24"/>
        </w:rPr>
      </w:pPr>
      <w:r w:rsidRPr="0028561C">
        <w:rPr>
          <w:b/>
          <w:bCs/>
          <w:color w:val="002C5C"/>
          <w:sz w:val="24"/>
          <w:szCs w:val="24"/>
        </w:rPr>
        <w:t>Q11: We propose that where the default arrangement includes a promise, the trustees of the scheme should be required to produce a default SIP.</w:t>
      </w:r>
    </w:p>
    <w:p w14:paraId="586C45F8" w14:textId="77777777" w:rsidR="0028561C" w:rsidRPr="0028561C" w:rsidRDefault="0028561C" w:rsidP="0028561C">
      <w:pPr>
        <w:rPr>
          <w:b/>
          <w:bCs/>
          <w:color w:val="002C5C"/>
          <w:sz w:val="24"/>
          <w:szCs w:val="24"/>
        </w:rPr>
      </w:pPr>
      <w:r w:rsidRPr="0028561C">
        <w:rPr>
          <w:b/>
          <w:bCs/>
          <w:color w:val="002C5C"/>
          <w:sz w:val="24"/>
          <w:szCs w:val="24"/>
        </w:rPr>
        <w:t xml:space="preserve">We propose that this </w:t>
      </w:r>
      <w:r w:rsidRPr="0028561C">
        <w:rPr>
          <w:b/>
          <w:bCs/>
          <w:color w:val="002C5C"/>
          <w:sz w:val="24"/>
          <w:szCs w:val="24"/>
        </w:rPr>
        <w:t>should be produced within 3 months of the end of the first scheme year to end after the coming into force date.</w:t>
      </w:r>
    </w:p>
    <w:p w14:paraId="2AB12E09" w14:textId="77777777" w:rsidR="00275F99" w:rsidRDefault="0028561C" w:rsidP="0028561C">
      <w:pPr>
        <w:rPr>
          <w:b/>
          <w:bCs/>
          <w:color w:val="002C5C"/>
          <w:sz w:val="24"/>
          <w:szCs w:val="24"/>
        </w:rPr>
      </w:pPr>
      <w:r w:rsidRPr="0028561C">
        <w:rPr>
          <w:b/>
          <w:bCs/>
          <w:color w:val="002C5C"/>
          <w:sz w:val="24"/>
          <w:szCs w:val="24"/>
        </w:rPr>
        <w:t>(a) Do you agree with this policy?</w:t>
      </w:r>
    </w:p>
    <w:p w14:paraId="4D42FCE0" w14:textId="497BA298" w:rsidR="00275F99" w:rsidRDefault="00275F99" w:rsidP="0028561C">
      <w:r w:rsidRPr="00C71E54">
        <w:t>Yes.  However, consideration should be given as to exactly which types of scheme will fall within the scope for this policy – for example, where a defined benefit scheme has a defined contribution underpin that is not expected to bit</w:t>
      </w:r>
      <w:r>
        <w:t>e</w:t>
      </w:r>
      <w:r w:rsidRPr="00C71E54">
        <w:t>, would this fall into scope?</w:t>
      </w:r>
    </w:p>
    <w:p w14:paraId="02682555" w14:textId="649A9801" w:rsidR="0028561C" w:rsidRDefault="0028561C" w:rsidP="0028561C">
      <w:pPr>
        <w:rPr>
          <w:b/>
          <w:bCs/>
          <w:color w:val="002C5C"/>
          <w:sz w:val="24"/>
          <w:szCs w:val="24"/>
        </w:rPr>
      </w:pPr>
      <w:r w:rsidRPr="0028561C">
        <w:rPr>
          <w:b/>
          <w:bCs/>
          <w:color w:val="002C5C"/>
          <w:sz w:val="24"/>
          <w:szCs w:val="24"/>
        </w:rPr>
        <w:t>(b) Do you agree that the legislation achieves the policy?</w:t>
      </w:r>
    </w:p>
    <w:p w14:paraId="1E639C0C" w14:textId="77777777" w:rsidR="00C71E54" w:rsidRPr="0028561C" w:rsidRDefault="00C71E54" w:rsidP="00C71E54">
      <w:r>
        <w:t>No comment.</w:t>
      </w:r>
    </w:p>
    <w:p w14:paraId="402861D7" w14:textId="77777777" w:rsidR="0028561C" w:rsidRPr="0028561C" w:rsidRDefault="0028561C" w:rsidP="0028561C">
      <w:pPr>
        <w:rPr>
          <w:b/>
          <w:bCs/>
          <w:color w:val="002C5C"/>
          <w:sz w:val="24"/>
          <w:szCs w:val="24"/>
        </w:rPr>
      </w:pPr>
      <w:r w:rsidRPr="0028561C">
        <w:rPr>
          <w:b/>
          <w:bCs/>
          <w:color w:val="002C5C"/>
          <w:sz w:val="24"/>
          <w:szCs w:val="24"/>
        </w:rPr>
        <w:t>Q12: We are proposing that, for relevant schemes, charges and transaction costs should be disclosed for any fund which members are (or were) able to select and in which assets relating to members are invested during the scheme year.</w:t>
      </w:r>
    </w:p>
    <w:p w14:paraId="39CEB159" w14:textId="01384494" w:rsidR="004A3310" w:rsidRPr="007823C4" w:rsidRDefault="0028561C" w:rsidP="007823C4">
      <w:pPr>
        <w:pStyle w:val="ListParagraph"/>
        <w:numPr>
          <w:ilvl w:val="0"/>
          <w:numId w:val="57"/>
        </w:numPr>
        <w:rPr>
          <w:b/>
          <w:bCs/>
          <w:color w:val="002C5C"/>
          <w:sz w:val="24"/>
          <w:szCs w:val="24"/>
        </w:rPr>
      </w:pPr>
      <w:r w:rsidRPr="007823C4">
        <w:rPr>
          <w:b/>
          <w:bCs/>
          <w:color w:val="002C5C"/>
          <w:sz w:val="24"/>
          <w:szCs w:val="24"/>
        </w:rPr>
        <w:t xml:space="preserve">Do you agree with this policy? </w:t>
      </w:r>
    </w:p>
    <w:p w14:paraId="06E4F4E3" w14:textId="24EF5E53" w:rsidR="004A3310" w:rsidRPr="00C71E54" w:rsidRDefault="004A3310" w:rsidP="00C71E54">
      <w:pPr>
        <w:rPr>
          <w:b/>
          <w:bCs/>
          <w:color w:val="002C5C"/>
          <w:sz w:val="24"/>
          <w:szCs w:val="24"/>
        </w:rPr>
      </w:pPr>
      <w:r>
        <w:t>Yes, it is best practice that all charges and costs are disclosed for funds that were utilised by members within the year.</w:t>
      </w:r>
      <w:r w:rsidR="00C71E54">
        <w:rPr>
          <w:b/>
          <w:bCs/>
          <w:color w:val="002C5C"/>
          <w:sz w:val="24"/>
          <w:szCs w:val="24"/>
        </w:rPr>
        <w:br/>
      </w:r>
      <w:r w:rsidR="0028561C" w:rsidRPr="00C71E54">
        <w:rPr>
          <w:b/>
          <w:bCs/>
          <w:color w:val="002C5C"/>
          <w:sz w:val="24"/>
          <w:szCs w:val="24"/>
        </w:rPr>
        <w:br/>
      </w:r>
      <w:r w:rsidR="007823C4">
        <w:rPr>
          <w:b/>
          <w:bCs/>
          <w:color w:val="002C5C"/>
          <w:sz w:val="24"/>
          <w:szCs w:val="24"/>
        </w:rPr>
        <w:t>(b)</w:t>
      </w:r>
      <w:r w:rsidR="0028561C" w:rsidRPr="00C71E54">
        <w:rPr>
          <w:b/>
          <w:bCs/>
          <w:color w:val="002C5C"/>
          <w:sz w:val="24"/>
          <w:szCs w:val="24"/>
        </w:rPr>
        <w:t xml:space="preserve"> Do you agree that the legislation achieves the policy?</w:t>
      </w:r>
    </w:p>
    <w:p w14:paraId="5E4DBD2B" w14:textId="16264F8A" w:rsidR="0028561C" w:rsidRPr="00C71E54" w:rsidRDefault="004A3310" w:rsidP="0028561C">
      <w:r>
        <w:t>It could be interpreted that only funds that were available for selection within the year in question, perhaps include “ever” after were.</w:t>
      </w:r>
    </w:p>
    <w:p w14:paraId="3A19A392" w14:textId="77777777" w:rsidR="0028561C" w:rsidRPr="0028561C" w:rsidRDefault="0028561C" w:rsidP="0028561C">
      <w:pPr>
        <w:rPr>
          <w:b/>
          <w:bCs/>
          <w:color w:val="002C5C"/>
          <w:sz w:val="24"/>
          <w:szCs w:val="24"/>
        </w:rPr>
      </w:pPr>
      <w:r w:rsidRPr="0028561C">
        <w:rPr>
          <w:b/>
          <w:bCs/>
          <w:color w:val="002C5C"/>
          <w:sz w:val="24"/>
          <w:szCs w:val="24"/>
        </w:rPr>
        <w:lastRenderedPageBreak/>
        <w:t>Q13: Do you agree with this proposed change? Do you have any other comments on this topic?</w:t>
      </w:r>
    </w:p>
    <w:p w14:paraId="092290BF" w14:textId="65F861E3" w:rsidR="0028561C" w:rsidRPr="0028561C" w:rsidRDefault="00275F99" w:rsidP="0028561C">
      <w:r>
        <w:t xml:space="preserve">Yes.  It appears reasonable that </w:t>
      </w:r>
      <w:proofErr w:type="gramStart"/>
      <w:r>
        <w:t>wholly-insured</w:t>
      </w:r>
      <w:proofErr w:type="gramEnd"/>
      <w:r>
        <w:t xml:space="preserve"> schemes should be exempted.</w:t>
      </w:r>
    </w:p>
    <w:p w14:paraId="75F599B2" w14:textId="77777777" w:rsidR="001602DC" w:rsidRDefault="001602DC" w:rsidP="001602DC">
      <w:pPr>
        <w:rPr>
          <w:b/>
          <w:bCs/>
          <w:color w:val="002C5C"/>
          <w:sz w:val="24"/>
          <w:szCs w:val="24"/>
        </w:rPr>
      </w:pPr>
    </w:p>
    <w:p w14:paraId="1088B857" w14:textId="77777777" w:rsidR="00D11884" w:rsidRDefault="00D11884" w:rsidP="00C072F1">
      <w:pPr>
        <w:rPr>
          <w:b/>
          <w:color w:val="002C5C"/>
          <w:sz w:val="26"/>
          <w:szCs w:val="26"/>
        </w:rPr>
      </w:pPr>
    </w:p>
    <w:p w14:paraId="4D885C85" w14:textId="0352429F" w:rsidR="00A7624E" w:rsidRDefault="00A7624E" w:rsidP="00C072F1">
      <w:pPr>
        <w:rPr>
          <w:b/>
          <w:color w:val="002C5C"/>
          <w:sz w:val="26"/>
          <w:szCs w:val="26"/>
        </w:rPr>
      </w:pPr>
    </w:p>
    <w:p w14:paraId="05D27B3F" w14:textId="76CEDD2D" w:rsidR="00A7624E" w:rsidRDefault="00A7624E" w:rsidP="00C072F1">
      <w:pPr>
        <w:rPr>
          <w:b/>
          <w:color w:val="002C5C"/>
          <w:sz w:val="26"/>
          <w:szCs w:val="26"/>
        </w:rPr>
      </w:pPr>
    </w:p>
    <w:p w14:paraId="79080E81" w14:textId="77777777" w:rsidR="00A7624E" w:rsidRDefault="00A7624E" w:rsidP="00C072F1">
      <w:pPr>
        <w:rPr>
          <w:b/>
          <w:color w:val="002C5C"/>
          <w:sz w:val="26"/>
          <w:szCs w:val="26"/>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3B5CCEB2" w:rsidR="00356208" w:rsidRDefault="0028561C" w:rsidP="00356208">
      <w:pPr>
        <w:spacing w:after="0"/>
        <w:jc w:val="right"/>
      </w:pPr>
      <w:r>
        <w:t>Carolyn Thurston Smith</w:t>
      </w:r>
    </w:p>
    <w:p w14:paraId="6E799E18" w14:textId="29C49191" w:rsidR="00356208" w:rsidRDefault="00356208" w:rsidP="00356208">
      <w:pPr>
        <w:spacing w:after="0"/>
        <w:jc w:val="right"/>
      </w:pPr>
      <w:r>
        <w:t xml:space="preserve">Policy </w:t>
      </w:r>
      <w:r w:rsidR="002A655F">
        <w:t>Executive</w:t>
      </w:r>
    </w:p>
    <w:p w14:paraId="6E799E19" w14:textId="77777777" w:rsidR="00356208" w:rsidRDefault="00356208" w:rsidP="00356208">
      <w:pPr>
        <w:spacing w:after="0"/>
        <w:jc w:val="right"/>
      </w:pPr>
      <w:r>
        <w:t>Law Society of Scotland</w:t>
      </w:r>
    </w:p>
    <w:p w14:paraId="6E799E1A" w14:textId="2F22903B" w:rsidR="00356208" w:rsidRDefault="00356208" w:rsidP="00356208">
      <w:pPr>
        <w:spacing w:after="0"/>
        <w:jc w:val="right"/>
      </w:pPr>
      <w:r>
        <w:t>DD: 0131</w:t>
      </w:r>
      <w:r w:rsidRPr="002F259B">
        <w:t xml:space="preserve"> 476 8</w:t>
      </w:r>
      <w:r w:rsidR="0028561C">
        <w:t>205</w:t>
      </w:r>
    </w:p>
    <w:p w14:paraId="6E799F2F" w14:textId="6A446A0C" w:rsidR="00356208" w:rsidRDefault="007823C4" w:rsidP="00C81C1B">
      <w:pPr>
        <w:spacing w:after="0"/>
        <w:jc w:val="right"/>
      </w:pPr>
      <w:hyperlink r:id="rId18" w:history="1">
        <w:r w:rsidR="0028561C" w:rsidRPr="00517F53">
          <w:rPr>
            <w:rStyle w:val="Hyperlink"/>
          </w:rPr>
          <w:t>carolynthurstonsmith@lawscot.org.uk</w:t>
        </w:r>
      </w:hyperlink>
      <w:r w:rsidR="00C81C1B">
        <w:t xml:space="preserve"> </w:t>
      </w:r>
    </w:p>
    <w:p w14:paraId="1EEE5EF0" w14:textId="39BCEAF7" w:rsidR="00E44699" w:rsidRDefault="00E44699" w:rsidP="00C81C1B">
      <w:pPr>
        <w:spacing w:after="0"/>
        <w:jc w:val="right"/>
      </w:pPr>
    </w:p>
    <w:p w14:paraId="05A066EA" w14:textId="77777777" w:rsidR="00E44699" w:rsidRPr="002062F8" w:rsidRDefault="00E44699" w:rsidP="00C81C1B">
      <w:pPr>
        <w:spacing w:after="0"/>
        <w:jc w:val="right"/>
      </w:pPr>
    </w:p>
    <w:sectPr w:rsidR="00E44699" w:rsidRPr="002062F8" w:rsidSect="00C81C1B">
      <w:headerReference w:type="even" r:id="rId19"/>
      <w:headerReference w:type="default" r:id="rId20"/>
      <w:headerReference w:type="first" r:id="rId21"/>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365D" w14:textId="77777777" w:rsidR="006B708F" w:rsidRDefault="006B708F" w:rsidP="004A1254">
      <w:r>
        <w:separator/>
      </w:r>
    </w:p>
    <w:p w14:paraId="1FF2598A" w14:textId="77777777" w:rsidR="006B708F" w:rsidRDefault="006B708F" w:rsidP="004A1254"/>
  </w:endnote>
  <w:endnote w:type="continuationSeparator" w:id="0">
    <w:p w14:paraId="5653460E" w14:textId="77777777" w:rsidR="006B708F" w:rsidRDefault="006B708F" w:rsidP="004A1254">
      <w:r>
        <w:continuationSeparator/>
      </w:r>
    </w:p>
    <w:p w14:paraId="53B35B9B" w14:textId="77777777" w:rsidR="006B708F" w:rsidRDefault="006B708F" w:rsidP="004A1254"/>
  </w:endnote>
  <w:endnote w:type="continuationNotice" w:id="1">
    <w:p w14:paraId="588641B8" w14:textId="77777777" w:rsidR="006B708F" w:rsidRDefault="006B7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7777777" w:rsidR="00CB30DE" w:rsidRDefault="00CB30DE"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99F39" w14:textId="77777777" w:rsidR="00CB30DE" w:rsidRDefault="00CB30DE"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75BF4178" w:rsidR="00CB30DE" w:rsidRPr="00852EDF" w:rsidRDefault="00CB30D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275F99">
      <w:rPr>
        <w:rStyle w:val="PageNumber"/>
        <w:noProof/>
        <w:sz w:val="18"/>
        <w:szCs w:val="18"/>
      </w:rPr>
      <w:t>6</w:t>
    </w:r>
    <w:r w:rsidRPr="00852EDF">
      <w:rPr>
        <w:rStyle w:val="PageNumber"/>
        <w:sz w:val="18"/>
        <w:szCs w:val="18"/>
      </w:rPr>
      <w:fldChar w:fldCharType="end"/>
    </w:r>
  </w:p>
  <w:p w14:paraId="6E799F3B" w14:textId="77777777" w:rsidR="00CB30DE" w:rsidRDefault="00CB30DE"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F211" w14:textId="77777777" w:rsidR="00CB30DE" w:rsidRDefault="00CB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5890" w14:textId="77777777" w:rsidR="006B708F" w:rsidRPr="00ED6246" w:rsidRDefault="006B708F" w:rsidP="00ED6246">
      <w:pPr>
        <w:pStyle w:val="Footer"/>
      </w:pPr>
    </w:p>
  </w:footnote>
  <w:footnote w:type="continuationSeparator" w:id="0">
    <w:p w14:paraId="7F13D922" w14:textId="77777777" w:rsidR="006B708F" w:rsidRDefault="006B708F" w:rsidP="004A1254">
      <w:r>
        <w:continuationSeparator/>
      </w:r>
    </w:p>
  </w:footnote>
  <w:footnote w:type="continuationNotice" w:id="1">
    <w:p w14:paraId="72C7AC82" w14:textId="77777777" w:rsidR="006B708F" w:rsidRPr="00ED6246" w:rsidRDefault="006B708F" w:rsidP="00ED6246">
      <w:pPr>
        <w:pStyle w:val="Footer"/>
      </w:pPr>
    </w:p>
  </w:footnote>
  <w:footnote w:id="2">
    <w:p w14:paraId="42F5BF56" w14:textId="722FA3A4" w:rsidR="0028561C" w:rsidRPr="0028561C" w:rsidRDefault="0028561C">
      <w:pPr>
        <w:pStyle w:val="FootnoteText"/>
        <w:rPr>
          <w:sz w:val="20"/>
          <w:szCs w:val="20"/>
          <w:lang w:val="en-US"/>
        </w:rPr>
      </w:pPr>
      <w:r w:rsidRPr="0028561C">
        <w:rPr>
          <w:rStyle w:val="FootnoteReference"/>
          <w:sz w:val="20"/>
          <w:szCs w:val="20"/>
        </w:rPr>
        <w:footnoteRef/>
      </w:r>
      <w:r w:rsidRPr="0028561C">
        <w:rPr>
          <w:sz w:val="20"/>
          <w:szCs w:val="20"/>
        </w:rPr>
        <w:t xml:space="preserve"> </w:t>
      </w:r>
      <w:hyperlink r:id="rId1" w:history="1">
        <w:r w:rsidRPr="0028561C">
          <w:rPr>
            <w:rStyle w:val="Hyperlink"/>
            <w:sz w:val="20"/>
            <w:szCs w:val="20"/>
          </w:rPr>
          <w:t>https://www.gov.uk/government/consultations/improving-outcomes-for-members-of-defined-contribution-pension-schemes</w:t>
        </w:r>
      </w:hyperlink>
      <w:r w:rsidRPr="0028561C">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1B6F" w14:textId="5EB9ABBA" w:rsidR="00CB30DE" w:rsidRDefault="00CB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13FDF961" w:rsidR="00CB30DE" w:rsidRDefault="00CB30DE" w:rsidP="004A1254">
    <w:pPr>
      <w:pStyle w:val="Header"/>
    </w:pPr>
    <w:r>
      <w:rPr>
        <w:noProof/>
        <w:lang w:eastAsia="en-GB"/>
      </w:rPr>
      <w:drawing>
        <wp:anchor distT="0" distB="0" distL="114300" distR="114300" simplePos="0" relativeHeight="251658240"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00A85BE" w:rsidR="00CB30DE" w:rsidRPr="0025503C" w:rsidRDefault="00CB30DE" w:rsidP="004A1254">
    <w:pPr>
      <w:pStyle w:val="Header"/>
    </w:pPr>
    <w:r>
      <w:rPr>
        <w:noProof/>
        <w:lang w:eastAsia="en-GB"/>
      </w:rPr>
      <w:drawing>
        <wp:anchor distT="0" distB="0" distL="114300" distR="114300" simplePos="0" relativeHeight="251658241" behindDoc="1" locked="0" layoutInCell="1" allowOverlap="1" wp14:anchorId="6E799F41" wp14:editId="6E799F42">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EC" w14:textId="7D45FC34" w:rsidR="00CB30DE" w:rsidRDefault="00CB30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0E956DF" w:rsidR="00CB30DE" w:rsidRPr="00356208" w:rsidRDefault="00CB30DE" w:rsidP="00356208">
    <w:pPr>
      <w:pStyle w:val="Header"/>
    </w:pPr>
    <w:r>
      <w:rPr>
        <w:noProof/>
        <w:lang w:eastAsia="en-GB"/>
      </w:rPr>
      <w:drawing>
        <wp:anchor distT="0" distB="0" distL="114300" distR="114300" simplePos="0" relativeHeight="251658242"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140" w14:textId="1154CCEB" w:rsidR="00CB30DE" w:rsidRDefault="00CB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85438"/>
    <w:multiLevelType w:val="hybridMultilevel"/>
    <w:tmpl w:val="49247D8C"/>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322347"/>
    <w:multiLevelType w:val="hybridMultilevel"/>
    <w:tmpl w:val="5A8E7520"/>
    <w:lvl w:ilvl="0" w:tplc="11EAC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46F5F"/>
    <w:multiLevelType w:val="hybridMultilevel"/>
    <w:tmpl w:val="D8A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C22222"/>
    <w:multiLevelType w:val="hybridMultilevel"/>
    <w:tmpl w:val="4A121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0EB277F4"/>
    <w:multiLevelType w:val="hybridMultilevel"/>
    <w:tmpl w:val="4AF0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EE62EA"/>
    <w:multiLevelType w:val="hybridMultilevel"/>
    <w:tmpl w:val="307A0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438C7"/>
    <w:multiLevelType w:val="hybridMultilevel"/>
    <w:tmpl w:val="F832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E5378E"/>
    <w:multiLevelType w:val="hybridMultilevel"/>
    <w:tmpl w:val="0E54EB16"/>
    <w:lvl w:ilvl="0" w:tplc="5AF034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BB2AD1"/>
    <w:multiLevelType w:val="hybridMultilevel"/>
    <w:tmpl w:val="BE5A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AD3575"/>
    <w:multiLevelType w:val="multilevel"/>
    <w:tmpl w:val="2A984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693487"/>
    <w:multiLevelType w:val="hybridMultilevel"/>
    <w:tmpl w:val="2BA0134C"/>
    <w:lvl w:ilvl="0" w:tplc="CF881424">
      <w:numFmt w:val="bullet"/>
      <w:lvlText w:val="•"/>
      <w:lvlJc w:val="left"/>
      <w:pPr>
        <w:ind w:left="1080" w:hanging="720"/>
      </w:pPr>
      <w:rPr>
        <w:rFonts w:ascii="Arial" w:eastAsiaTheme="minorEastAsia"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C077F"/>
    <w:multiLevelType w:val="hybridMultilevel"/>
    <w:tmpl w:val="6EA642B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9C482E"/>
    <w:multiLevelType w:val="hybridMultilevel"/>
    <w:tmpl w:val="024437BA"/>
    <w:lvl w:ilvl="0" w:tplc="7930BD76">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D07AFB"/>
    <w:multiLevelType w:val="hybridMultilevel"/>
    <w:tmpl w:val="63B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1257EF"/>
    <w:multiLevelType w:val="hybridMultilevel"/>
    <w:tmpl w:val="6D1E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EC6C55"/>
    <w:multiLevelType w:val="multilevel"/>
    <w:tmpl w:val="878EE6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2F7C7509"/>
    <w:multiLevelType w:val="hybridMultilevel"/>
    <w:tmpl w:val="BB509384"/>
    <w:lvl w:ilvl="0" w:tplc="A872A0AC">
      <w:start w:val="1"/>
      <w:numFmt w:val="lowerLetter"/>
      <w:lvlText w:val="(%1)"/>
      <w:lvlJc w:val="left"/>
      <w:pPr>
        <w:ind w:left="1440" w:hanging="360"/>
      </w:pPr>
      <w:rPr>
        <w:rFonts w:hint="default"/>
        <w:b w:val="0"/>
        <w:bCs w:val="0"/>
        <w:i w:val="0"/>
        <w:iCs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5F5EA8"/>
    <w:multiLevelType w:val="hybridMultilevel"/>
    <w:tmpl w:val="1D8AB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31B28FE"/>
    <w:multiLevelType w:val="hybridMultilevel"/>
    <w:tmpl w:val="A75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316B6A"/>
    <w:multiLevelType w:val="hybridMultilevel"/>
    <w:tmpl w:val="0438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611BA4"/>
    <w:multiLevelType w:val="hybridMultilevel"/>
    <w:tmpl w:val="06820820"/>
    <w:lvl w:ilvl="0" w:tplc="2F2E808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0B01D5"/>
    <w:multiLevelType w:val="hybridMultilevel"/>
    <w:tmpl w:val="FC7EF4DA"/>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9" w15:restartNumberingAfterBreak="0">
    <w:nsid w:val="47CA4E22"/>
    <w:multiLevelType w:val="hybridMultilevel"/>
    <w:tmpl w:val="92FE945C"/>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643B04"/>
    <w:multiLevelType w:val="hybridMultilevel"/>
    <w:tmpl w:val="8DAEE6F4"/>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4012AA"/>
    <w:multiLevelType w:val="hybridMultilevel"/>
    <w:tmpl w:val="819C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C03E96"/>
    <w:multiLevelType w:val="hybridMultilevel"/>
    <w:tmpl w:val="AEB86A3C"/>
    <w:lvl w:ilvl="0" w:tplc="380A6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A61C1"/>
    <w:multiLevelType w:val="hybridMultilevel"/>
    <w:tmpl w:val="47003936"/>
    <w:lvl w:ilvl="0" w:tplc="35602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892983"/>
    <w:multiLevelType w:val="hybridMultilevel"/>
    <w:tmpl w:val="7B7E31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6D3D1DB7"/>
    <w:multiLevelType w:val="hybridMultilevel"/>
    <w:tmpl w:val="B6BCF8D4"/>
    <w:lvl w:ilvl="0" w:tplc="C82CDB14">
      <w:start w:val="1"/>
      <w:numFmt w:val="decimal"/>
      <w:lvlText w:val="[%1]"/>
      <w:lvlJc w:val="left"/>
      <w:pPr>
        <w:ind w:left="720" w:hanging="360"/>
      </w:pPr>
      <w:rPr>
        <w:rFonts w:hint="default"/>
        <w:b w:val="0"/>
      </w:rPr>
    </w:lvl>
    <w:lvl w:ilvl="1" w:tplc="A30A65B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DD7589"/>
    <w:multiLevelType w:val="multilevel"/>
    <w:tmpl w:val="A198B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942284"/>
    <w:multiLevelType w:val="hybridMultilevel"/>
    <w:tmpl w:val="C9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AB0DAE"/>
    <w:multiLevelType w:val="hybridMultilevel"/>
    <w:tmpl w:val="B90201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71406972"/>
    <w:multiLevelType w:val="hybridMultilevel"/>
    <w:tmpl w:val="FD6A74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5477A6"/>
    <w:multiLevelType w:val="hybridMultilevel"/>
    <w:tmpl w:val="4CA49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A21FEE"/>
    <w:multiLevelType w:val="hybridMultilevel"/>
    <w:tmpl w:val="B552A41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476F32"/>
    <w:multiLevelType w:val="hybridMultilevel"/>
    <w:tmpl w:val="4832F546"/>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EB40F81"/>
    <w:multiLevelType w:val="hybridMultilevel"/>
    <w:tmpl w:val="DB2A770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8"/>
  </w:num>
  <w:num w:numId="4">
    <w:abstractNumId w:val="7"/>
  </w:num>
  <w:num w:numId="5">
    <w:abstractNumId w:val="6"/>
  </w:num>
  <w:num w:numId="6">
    <w:abstractNumId w:val="5"/>
  </w:num>
  <w:num w:numId="7">
    <w:abstractNumId w:val="13"/>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22"/>
  </w:num>
  <w:num w:numId="16">
    <w:abstractNumId w:val="53"/>
  </w:num>
  <w:num w:numId="17">
    <w:abstractNumId w:val="33"/>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44"/>
  </w:num>
  <w:num w:numId="21">
    <w:abstractNumId w:val="47"/>
  </w:num>
  <w:num w:numId="22">
    <w:abstractNumId w:val="22"/>
  </w:num>
  <w:num w:numId="23">
    <w:abstractNumId w:val="15"/>
  </w:num>
  <w:num w:numId="24">
    <w:abstractNumId w:val="32"/>
  </w:num>
  <w:num w:numId="25">
    <w:abstractNumId w:val="27"/>
  </w:num>
  <w:num w:numId="26">
    <w:abstractNumId w:val="23"/>
  </w:num>
  <w:num w:numId="27">
    <w:abstractNumId w:val="46"/>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0"/>
  </w:num>
  <w:num w:numId="31">
    <w:abstractNumId w:val="29"/>
  </w:num>
  <w:num w:numId="32">
    <w:abstractNumId w:val="37"/>
  </w:num>
  <w:num w:numId="33">
    <w:abstractNumId w:val="54"/>
  </w:num>
  <w:num w:numId="34">
    <w:abstractNumId w:val="48"/>
  </w:num>
  <w:num w:numId="35">
    <w:abstractNumId w:val="17"/>
  </w:num>
  <w:num w:numId="36">
    <w:abstractNumId w:val="36"/>
  </w:num>
  <w:num w:numId="37">
    <w:abstractNumId w:val="39"/>
  </w:num>
  <w:num w:numId="38">
    <w:abstractNumId w:val="40"/>
  </w:num>
  <w:num w:numId="39">
    <w:abstractNumId w:val="49"/>
  </w:num>
  <w:num w:numId="40">
    <w:abstractNumId w:val="35"/>
  </w:num>
  <w:num w:numId="41">
    <w:abstractNumId w:val="51"/>
  </w:num>
  <w:num w:numId="42">
    <w:abstractNumId w:val="26"/>
  </w:num>
  <w:num w:numId="43">
    <w:abstractNumId w:val="24"/>
  </w:num>
  <w:num w:numId="44">
    <w:abstractNumId w:val="11"/>
  </w:num>
  <w:num w:numId="45">
    <w:abstractNumId w:val="52"/>
  </w:num>
  <w:num w:numId="46">
    <w:abstractNumId w:val="41"/>
  </w:num>
  <w:num w:numId="47">
    <w:abstractNumId w:val="19"/>
  </w:num>
  <w:num w:numId="48">
    <w:abstractNumId w:val="38"/>
  </w:num>
  <w:num w:numId="49">
    <w:abstractNumId w:val="14"/>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50"/>
  </w:num>
  <w:num w:numId="53">
    <w:abstractNumId w:val="30"/>
  </w:num>
  <w:num w:numId="54">
    <w:abstractNumId w:val="21"/>
  </w:num>
  <w:num w:numId="55">
    <w:abstractNumId w:val="28"/>
  </w:num>
  <w:num w:numId="56">
    <w:abstractNumId w:val="42"/>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1109"/>
    <w:rsid w:val="00002686"/>
    <w:rsid w:val="00005676"/>
    <w:rsid w:val="00007D81"/>
    <w:rsid w:val="0001221E"/>
    <w:rsid w:val="0001478A"/>
    <w:rsid w:val="00014E20"/>
    <w:rsid w:val="00021693"/>
    <w:rsid w:val="00027698"/>
    <w:rsid w:val="00032341"/>
    <w:rsid w:val="00041DA5"/>
    <w:rsid w:val="00045D3C"/>
    <w:rsid w:val="000466A5"/>
    <w:rsid w:val="00047428"/>
    <w:rsid w:val="0005082B"/>
    <w:rsid w:val="00051772"/>
    <w:rsid w:val="00054651"/>
    <w:rsid w:val="00054BB2"/>
    <w:rsid w:val="00056067"/>
    <w:rsid w:val="00056E34"/>
    <w:rsid w:val="00061620"/>
    <w:rsid w:val="00064395"/>
    <w:rsid w:val="00064A99"/>
    <w:rsid w:val="000672A2"/>
    <w:rsid w:val="00073AA3"/>
    <w:rsid w:val="00074197"/>
    <w:rsid w:val="0007592C"/>
    <w:rsid w:val="00076E80"/>
    <w:rsid w:val="00076FDA"/>
    <w:rsid w:val="00077E5E"/>
    <w:rsid w:val="00082089"/>
    <w:rsid w:val="00082337"/>
    <w:rsid w:val="000826C1"/>
    <w:rsid w:val="00083295"/>
    <w:rsid w:val="000835B5"/>
    <w:rsid w:val="0008366B"/>
    <w:rsid w:val="00094494"/>
    <w:rsid w:val="00094682"/>
    <w:rsid w:val="00095406"/>
    <w:rsid w:val="00095D94"/>
    <w:rsid w:val="000971F1"/>
    <w:rsid w:val="00097B90"/>
    <w:rsid w:val="00097DBA"/>
    <w:rsid w:val="000A50E5"/>
    <w:rsid w:val="000A7C1D"/>
    <w:rsid w:val="000B2C6F"/>
    <w:rsid w:val="000B3304"/>
    <w:rsid w:val="000C40FF"/>
    <w:rsid w:val="000C62A2"/>
    <w:rsid w:val="000D1439"/>
    <w:rsid w:val="000D215E"/>
    <w:rsid w:val="000D230F"/>
    <w:rsid w:val="000D5589"/>
    <w:rsid w:val="000D5756"/>
    <w:rsid w:val="000E2262"/>
    <w:rsid w:val="000E273C"/>
    <w:rsid w:val="000F016A"/>
    <w:rsid w:val="000F0F37"/>
    <w:rsid w:val="000F51C4"/>
    <w:rsid w:val="000F5C0C"/>
    <w:rsid w:val="000F7B90"/>
    <w:rsid w:val="001009BF"/>
    <w:rsid w:val="001017B0"/>
    <w:rsid w:val="001048DC"/>
    <w:rsid w:val="00104C4D"/>
    <w:rsid w:val="00105A86"/>
    <w:rsid w:val="001061E4"/>
    <w:rsid w:val="001078B7"/>
    <w:rsid w:val="00115A9C"/>
    <w:rsid w:val="001218EA"/>
    <w:rsid w:val="00123E9F"/>
    <w:rsid w:val="0012511A"/>
    <w:rsid w:val="0012755A"/>
    <w:rsid w:val="00130905"/>
    <w:rsid w:val="00131107"/>
    <w:rsid w:val="00131296"/>
    <w:rsid w:val="0013143B"/>
    <w:rsid w:val="0013325B"/>
    <w:rsid w:val="0013491D"/>
    <w:rsid w:val="001352E4"/>
    <w:rsid w:val="0013702F"/>
    <w:rsid w:val="001373B6"/>
    <w:rsid w:val="00142189"/>
    <w:rsid w:val="00147104"/>
    <w:rsid w:val="0014723D"/>
    <w:rsid w:val="00150A2C"/>
    <w:rsid w:val="001528A6"/>
    <w:rsid w:val="00153F52"/>
    <w:rsid w:val="00155315"/>
    <w:rsid w:val="00155EFA"/>
    <w:rsid w:val="001568EB"/>
    <w:rsid w:val="001602DC"/>
    <w:rsid w:val="00162AB3"/>
    <w:rsid w:val="00163A75"/>
    <w:rsid w:val="00163C6A"/>
    <w:rsid w:val="00163F6F"/>
    <w:rsid w:val="001643DE"/>
    <w:rsid w:val="00164902"/>
    <w:rsid w:val="00166797"/>
    <w:rsid w:val="00167DB1"/>
    <w:rsid w:val="001708CA"/>
    <w:rsid w:val="00171C44"/>
    <w:rsid w:val="00172508"/>
    <w:rsid w:val="0017313C"/>
    <w:rsid w:val="0017329F"/>
    <w:rsid w:val="001819E4"/>
    <w:rsid w:val="00187FF4"/>
    <w:rsid w:val="00190331"/>
    <w:rsid w:val="001906E0"/>
    <w:rsid w:val="00192887"/>
    <w:rsid w:val="00196039"/>
    <w:rsid w:val="001960F0"/>
    <w:rsid w:val="001A19DE"/>
    <w:rsid w:val="001A24B1"/>
    <w:rsid w:val="001A2618"/>
    <w:rsid w:val="001A2C62"/>
    <w:rsid w:val="001B0B9C"/>
    <w:rsid w:val="001B0D84"/>
    <w:rsid w:val="001C1ED9"/>
    <w:rsid w:val="001C7E06"/>
    <w:rsid w:val="001D7F60"/>
    <w:rsid w:val="001E55F7"/>
    <w:rsid w:val="001E5BE1"/>
    <w:rsid w:val="001E67DB"/>
    <w:rsid w:val="001E6843"/>
    <w:rsid w:val="001F0504"/>
    <w:rsid w:val="001F47EC"/>
    <w:rsid w:val="001F4F17"/>
    <w:rsid w:val="001F7228"/>
    <w:rsid w:val="0020426D"/>
    <w:rsid w:val="00204894"/>
    <w:rsid w:val="00204C09"/>
    <w:rsid w:val="00205EE8"/>
    <w:rsid w:val="002062F8"/>
    <w:rsid w:val="002077EA"/>
    <w:rsid w:val="00214A3C"/>
    <w:rsid w:val="00217EAA"/>
    <w:rsid w:val="002214B3"/>
    <w:rsid w:val="002216EB"/>
    <w:rsid w:val="00222D2E"/>
    <w:rsid w:val="00225C1A"/>
    <w:rsid w:val="002272E0"/>
    <w:rsid w:val="00227F86"/>
    <w:rsid w:val="002316A2"/>
    <w:rsid w:val="00241CD6"/>
    <w:rsid w:val="00241D08"/>
    <w:rsid w:val="00243E2B"/>
    <w:rsid w:val="002462D5"/>
    <w:rsid w:val="00254224"/>
    <w:rsid w:val="0025433B"/>
    <w:rsid w:val="00254F58"/>
    <w:rsid w:val="0025503C"/>
    <w:rsid w:val="00256EAC"/>
    <w:rsid w:val="002651B3"/>
    <w:rsid w:val="00266292"/>
    <w:rsid w:val="00267974"/>
    <w:rsid w:val="00267CC9"/>
    <w:rsid w:val="00270688"/>
    <w:rsid w:val="00274194"/>
    <w:rsid w:val="00275F99"/>
    <w:rsid w:val="002809AA"/>
    <w:rsid w:val="00280AED"/>
    <w:rsid w:val="002844C5"/>
    <w:rsid w:val="0028561C"/>
    <w:rsid w:val="00290CE0"/>
    <w:rsid w:val="002947CC"/>
    <w:rsid w:val="0029719C"/>
    <w:rsid w:val="002A01F4"/>
    <w:rsid w:val="002A342D"/>
    <w:rsid w:val="002A45A3"/>
    <w:rsid w:val="002A655F"/>
    <w:rsid w:val="002A7F05"/>
    <w:rsid w:val="002B052A"/>
    <w:rsid w:val="002B1245"/>
    <w:rsid w:val="002B563B"/>
    <w:rsid w:val="002B5965"/>
    <w:rsid w:val="002B6F0B"/>
    <w:rsid w:val="002B700F"/>
    <w:rsid w:val="002C1514"/>
    <w:rsid w:val="002C3768"/>
    <w:rsid w:val="002C6686"/>
    <w:rsid w:val="002C67E8"/>
    <w:rsid w:val="002C72FD"/>
    <w:rsid w:val="002D1758"/>
    <w:rsid w:val="002D1C30"/>
    <w:rsid w:val="002D2DF0"/>
    <w:rsid w:val="002D5857"/>
    <w:rsid w:val="002E0245"/>
    <w:rsid w:val="002E101E"/>
    <w:rsid w:val="002E1BBF"/>
    <w:rsid w:val="002F236A"/>
    <w:rsid w:val="002F259B"/>
    <w:rsid w:val="002F2A06"/>
    <w:rsid w:val="002F4256"/>
    <w:rsid w:val="002F58FD"/>
    <w:rsid w:val="002F6460"/>
    <w:rsid w:val="00300FDA"/>
    <w:rsid w:val="003048C2"/>
    <w:rsid w:val="00310451"/>
    <w:rsid w:val="003120FE"/>
    <w:rsid w:val="00313D34"/>
    <w:rsid w:val="003158F2"/>
    <w:rsid w:val="00317AEE"/>
    <w:rsid w:val="00322FE7"/>
    <w:rsid w:val="00324496"/>
    <w:rsid w:val="00324597"/>
    <w:rsid w:val="00327F04"/>
    <w:rsid w:val="0033265E"/>
    <w:rsid w:val="00332BE3"/>
    <w:rsid w:val="00343246"/>
    <w:rsid w:val="00343A77"/>
    <w:rsid w:val="00346E62"/>
    <w:rsid w:val="003473E4"/>
    <w:rsid w:val="003554AE"/>
    <w:rsid w:val="00355595"/>
    <w:rsid w:val="00356208"/>
    <w:rsid w:val="00360EC9"/>
    <w:rsid w:val="003614D4"/>
    <w:rsid w:val="003624FD"/>
    <w:rsid w:val="00362B40"/>
    <w:rsid w:val="00362C71"/>
    <w:rsid w:val="003637D8"/>
    <w:rsid w:val="00365C4E"/>
    <w:rsid w:val="003670D1"/>
    <w:rsid w:val="0037014F"/>
    <w:rsid w:val="003752D7"/>
    <w:rsid w:val="003765BB"/>
    <w:rsid w:val="0037760A"/>
    <w:rsid w:val="003817C4"/>
    <w:rsid w:val="00382B03"/>
    <w:rsid w:val="00382DD5"/>
    <w:rsid w:val="00382FA4"/>
    <w:rsid w:val="00385578"/>
    <w:rsid w:val="00390146"/>
    <w:rsid w:val="00390D22"/>
    <w:rsid w:val="00391345"/>
    <w:rsid w:val="00395056"/>
    <w:rsid w:val="003951FE"/>
    <w:rsid w:val="00395A81"/>
    <w:rsid w:val="003A0670"/>
    <w:rsid w:val="003A0CF0"/>
    <w:rsid w:val="003A599D"/>
    <w:rsid w:val="003A5D90"/>
    <w:rsid w:val="003B0991"/>
    <w:rsid w:val="003B2EC8"/>
    <w:rsid w:val="003B3132"/>
    <w:rsid w:val="003B4CD6"/>
    <w:rsid w:val="003B58E3"/>
    <w:rsid w:val="003C32C8"/>
    <w:rsid w:val="003C4122"/>
    <w:rsid w:val="003C511C"/>
    <w:rsid w:val="003C6705"/>
    <w:rsid w:val="003D0412"/>
    <w:rsid w:val="003D30CE"/>
    <w:rsid w:val="003D446A"/>
    <w:rsid w:val="003D5F15"/>
    <w:rsid w:val="003D5FF6"/>
    <w:rsid w:val="003D71D6"/>
    <w:rsid w:val="003D7316"/>
    <w:rsid w:val="003E1E9C"/>
    <w:rsid w:val="003E4B40"/>
    <w:rsid w:val="003E5785"/>
    <w:rsid w:val="003F0D64"/>
    <w:rsid w:val="003F76F6"/>
    <w:rsid w:val="003F78A2"/>
    <w:rsid w:val="003F7923"/>
    <w:rsid w:val="003F7B3F"/>
    <w:rsid w:val="00400914"/>
    <w:rsid w:val="00401E04"/>
    <w:rsid w:val="00404885"/>
    <w:rsid w:val="004077EC"/>
    <w:rsid w:val="00411C67"/>
    <w:rsid w:val="0041348F"/>
    <w:rsid w:val="004147CF"/>
    <w:rsid w:val="0041636D"/>
    <w:rsid w:val="004232EA"/>
    <w:rsid w:val="00426941"/>
    <w:rsid w:val="004311A3"/>
    <w:rsid w:val="00432D50"/>
    <w:rsid w:val="004369C9"/>
    <w:rsid w:val="00436D5A"/>
    <w:rsid w:val="00447FDC"/>
    <w:rsid w:val="004503DB"/>
    <w:rsid w:val="00454B30"/>
    <w:rsid w:val="00456389"/>
    <w:rsid w:val="0045670B"/>
    <w:rsid w:val="0045739E"/>
    <w:rsid w:val="004634B5"/>
    <w:rsid w:val="00465DD3"/>
    <w:rsid w:val="004676A2"/>
    <w:rsid w:val="00467D49"/>
    <w:rsid w:val="00470D81"/>
    <w:rsid w:val="0047160D"/>
    <w:rsid w:val="004739C1"/>
    <w:rsid w:val="00473C42"/>
    <w:rsid w:val="00475403"/>
    <w:rsid w:val="0047708A"/>
    <w:rsid w:val="00486F92"/>
    <w:rsid w:val="004919A3"/>
    <w:rsid w:val="0049213E"/>
    <w:rsid w:val="00492A14"/>
    <w:rsid w:val="004936D6"/>
    <w:rsid w:val="00496E6B"/>
    <w:rsid w:val="004A0960"/>
    <w:rsid w:val="004A1254"/>
    <w:rsid w:val="004A2274"/>
    <w:rsid w:val="004A288A"/>
    <w:rsid w:val="004A3310"/>
    <w:rsid w:val="004A3B9D"/>
    <w:rsid w:val="004A4961"/>
    <w:rsid w:val="004A4C5E"/>
    <w:rsid w:val="004A7A1D"/>
    <w:rsid w:val="004C0DB7"/>
    <w:rsid w:val="004C263B"/>
    <w:rsid w:val="004C3211"/>
    <w:rsid w:val="004C424B"/>
    <w:rsid w:val="004D0D09"/>
    <w:rsid w:val="004D1149"/>
    <w:rsid w:val="004D2E4D"/>
    <w:rsid w:val="004D3DB6"/>
    <w:rsid w:val="004D3E4F"/>
    <w:rsid w:val="004D45BC"/>
    <w:rsid w:val="004D4BC8"/>
    <w:rsid w:val="004D4FB4"/>
    <w:rsid w:val="004E0ECF"/>
    <w:rsid w:val="004E2410"/>
    <w:rsid w:val="004E2A76"/>
    <w:rsid w:val="004E320C"/>
    <w:rsid w:val="004E3526"/>
    <w:rsid w:val="004E767B"/>
    <w:rsid w:val="004F3ED6"/>
    <w:rsid w:val="004F5B0C"/>
    <w:rsid w:val="004F6D5F"/>
    <w:rsid w:val="005017F2"/>
    <w:rsid w:val="0050324F"/>
    <w:rsid w:val="00504B13"/>
    <w:rsid w:val="0051465C"/>
    <w:rsid w:val="0051509F"/>
    <w:rsid w:val="00516F18"/>
    <w:rsid w:val="0052789A"/>
    <w:rsid w:val="00530F37"/>
    <w:rsid w:val="0053118F"/>
    <w:rsid w:val="00531356"/>
    <w:rsid w:val="00535AE6"/>
    <w:rsid w:val="005372BB"/>
    <w:rsid w:val="0054017E"/>
    <w:rsid w:val="00540507"/>
    <w:rsid w:val="00542A39"/>
    <w:rsid w:val="00542BAC"/>
    <w:rsid w:val="00544447"/>
    <w:rsid w:val="005459D3"/>
    <w:rsid w:val="00547EDB"/>
    <w:rsid w:val="00550EBE"/>
    <w:rsid w:val="00553473"/>
    <w:rsid w:val="00560BE1"/>
    <w:rsid w:val="0056392F"/>
    <w:rsid w:val="005639C8"/>
    <w:rsid w:val="0057488E"/>
    <w:rsid w:val="00575962"/>
    <w:rsid w:val="00590675"/>
    <w:rsid w:val="00591DDF"/>
    <w:rsid w:val="005954C8"/>
    <w:rsid w:val="005A1643"/>
    <w:rsid w:val="005A4C76"/>
    <w:rsid w:val="005A5E23"/>
    <w:rsid w:val="005A75A7"/>
    <w:rsid w:val="005B0657"/>
    <w:rsid w:val="005B2575"/>
    <w:rsid w:val="005B451E"/>
    <w:rsid w:val="005C0720"/>
    <w:rsid w:val="005C145B"/>
    <w:rsid w:val="005C4CBC"/>
    <w:rsid w:val="005C5641"/>
    <w:rsid w:val="005C661E"/>
    <w:rsid w:val="005D3C71"/>
    <w:rsid w:val="005D5C96"/>
    <w:rsid w:val="005D684E"/>
    <w:rsid w:val="005D7030"/>
    <w:rsid w:val="005E13D1"/>
    <w:rsid w:val="005E1D66"/>
    <w:rsid w:val="005E280C"/>
    <w:rsid w:val="005E6E4B"/>
    <w:rsid w:val="005E7ED1"/>
    <w:rsid w:val="005F22D3"/>
    <w:rsid w:val="0060030A"/>
    <w:rsid w:val="00603ECE"/>
    <w:rsid w:val="00605692"/>
    <w:rsid w:val="00606BD4"/>
    <w:rsid w:val="00607112"/>
    <w:rsid w:val="0060763E"/>
    <w:rsid w:val="00607DC5"/>
    <w:rsid w:val="00613D8A"/>
    <w:rsid w:val="0061461D"/>
    <w:rsid w:val="00616513"/>
    <w:rsid w:val="00617663"/>
    <w:rsid w:val="00623156"/>
    <w:rsid w:val="00624A56"/>
    <w:rsid w:val="006261CF"/>
    <w:rsid w:val="0063011D"/>
    <w:rsid w:val="00630189"/>
    <w:rsid w:val="00630CC5"/>
    <w:rsid w:val="0063113D"/>
    <w:rsid w:val="00631393"/>
    <w:rsid w:val="00632D96"/>
    <w:rsid w:val="00633DEE"/>
    <w:rsid w:val="006369A5"/>
    <w:rsid w:val="00637FD1"/>
    <w:rsid w:val="00645C9E"/>
    <w:rsid w:val="00647F7D"/>
    <w:rsid w:val="00650024"/>
    <w:rsid w:val="006500CC"/>
    <w:rsid w:val="006519A5"/>
    <w:rsid w:val="00653147"/>
    <w:rsid w:val="00655E5E"/>
    <w:rsid w:val="00662F3A"/>
    <w:rsid w:val="006640F6"/>
    <w:rsid w:val="0066435D"/>
    <w:rsid w:val="00666295"/>
    <w:rsid w:val="00666BE0"/>
    <w:rsid w:val="00667BC2"/>
    <w:rsid w:val="00670E57"/>
    <w:rsid w:val="006719D5"/>
    <w:rsid w:val="00671CD0"/>
    <w:rsid w:val="00685153"/>
    <w:rsid w:val="00685825"/>
    <w:rsid w:val="00687DD4"/>
    <w:rsid w:val="006915D4"/>
    <w:rsid w:val="00691AB5"/>
    <w:rsid w:val="00695E5B"/>
    <w:rsid w:val="006969BB"/>
    <w:rsid w:val="00697673"/>
    <w:rsid w:val="006A400F"/>
    <w:rsid w:val="006A5D16"/>
    <w:rsid w:val="006B27BC"/>
    <w:rsid w:val="006B4D07"/>
    <w:rsid w:val="006B708F"/>
    <w:rsid w:val="006C05AE"/>
    <w:rsid w:val="006C21C6"/>
    <w:rsid w:val="006C32B1"/>
    <w:rsid w:val="006C482D"/>
    <w:rsid w:val="006C4E6E"/>
    <w:rsid w:val="006D09A1"/>
    <w:rsid w:val="006D2193"/>
    <w:rsid w:val="006D7301"/>
    <w:rsid w:val="006E4209"/>
    <w:rsid w:val="006E5851"/>
    <w:rsid w:val="006F1F62"/>
    <w:rsid w:val="006F2BAB"/>
    <w:rsid w:val="006F561C"/>
    <w:rsid w:val="006F5DB8"/>
    <w:rsid w:val="006F6942"/>
    <w:rsid w:val="00700ED6"/>
    <w:rsid w:val="00701D55"/>
    <w:rsid w:val="0070250A"/>
    <w:rsid w:val="00704D64"/>
    <w:rsid w:val="00706B40"/>
    <w:rsid w:val="00707885"/>
    <w:rsid w:val="00711F2F"/>
    <w:rsid w:val="0071209A"/>
    <w:rsid w:val="007165E2"/>
    <w:rsid w:val="00725ED4"/>
    <w:rsid w:val="00727D98"/>
    <w:rsid w:val="00734534"/>
    <w:rsid w:val="00735365"/>
    <w:rsid w:val="00735B05"/>
    <w:rsid w:val="007372D7"/>
    <w:rsid w:val="00737F2E"/>
    <w:rsid w:val="00740D15"/>
    <w:rsid w:val="00743811"/>
    <w:rsid w:val="00743F86"/>
    <w:rsid w:val="00747299"/>
    <w:rsid w:val="007478F3"/>
    <w:rsid w:val="00747EAC"/>
    <w:rsid w:val="007501A7"/>
    <w:rsid w:val="00751BA0"/>
    <w:rsid w:val="00752DDA"/>
    <w:rsid w:val="00755F91"/>
    <w:rsid w:val="00766E45"/>
    <w:rsid w:val="007714FB"/>
    <w:rsid w:val="00771EC2"/>
    <w:rsid w:val="0077386D"/>
    <w:rsid w:val="0077487D"/>
    <w:rsid w:val="00775E6F"/>
    <w:rsid w:val="00775FC7"/>
    <w:rsid w:val="007779D5"/>
    <w:rsid w:val="00777CA8"/>
    <w:rsid w:val="00780057"/>
    <w:rsid w:val="00781076"/>
    <w:rsid w:val="007823C4"/>
    <w:rsid w:val="00782654"/>
    <w:rsid w:val="0078394C"/>
    <w:rsid w:val="00784CAB"/>
    <w:rsid w:val="00784CC5"/>
    <w:rsid w:val="00785A7A"/>
    <w:rsid w:val="00786554"/>
    <w:rsid w:val="00790099"/>
    <w:rsid w:val="00791503"/>
    <w:rsid w:val="00792233"/>
    <w:rsid w:val="00793855"/>
    <w:rsid w:val="007A2ABD"/>
    <w:rsid w:val="007B0328"/>
    <w:rsid w:val="007B1346"/>
    <w:rsid w:val="007B142F"/>
    <w:rsid w:val="007B24A6"/>
    <w:rsid w:val="007C43E2"/>
    <w:rsid w:val="007D2F1D"/>
    <w:rsid w:val="007D515E"/>
    <w:rsid w:val="007D5596"/>
    <w:rsid w:val="007D7D56"/>
    <w:rsid w:val="007E0088"/>
    <w:rsid w:val="007E284C"/>
    <w:rsid w:val="007E6AC9"/>
    <w:rsid w:val="007E7B54"/>
    <w:rsid w:val="007F08A3"/>
    <w:rsid w:val="007F20BF"/>
    <w:rsid w:val="007F23BA"/>
    <w:rsid w:val="007F629F"/>
    <w:rsid w:val="007F68E6"/>
    <w:rsid w:val="007F7F5B"/>
    <w:rsid w:val="00800829"/>
    <w:rsid w:val="00801806"/>
    <w:rsid w:val="008116BA"/>
    <w:rsid w:val="00814F54"/>
    <w:rsid w:val="008151DE"/>
    <w:rsid w:val="00815E70"/>
    <w:rsid w:val="008167D9"/>
    <w:rsid w:val="00820CD1"/>
    <w:rsid w:val="00823CFE"/>
    <w:rsid w:val="00827BA5"/>
    <w:rsid w:val="00827DFE"/>
    <w:rsid w:val="008308E7"/>
    <w:rsid w:val="00832F75"/>
    <w:rsid w:val="0083599D"/>
    <w:rsid w:val="00835CB2"/>
    <w:rsid w:val="00836992"/>
    <w:rsid w:val="00841A67"/>
    <w:rsid w:val="008432CB"/>
    <w:rsid w:val="0084343E"/>
    <w:rsid w:val="00844B13"/>
    <w:rsid w:val="008476D1"/>
    <w:rsid w:val="0085139C"/>
    <w:rsid w:val="00851C8C"/>
    <w:rsid w:val="00852364"/>
    <w:rsid w:val="00852EDF"/>
    <w:rsid w:val="008537E5"/>
    <w:rsid w:val="0085418F"/>
    <w:rsid w:val="0085585C"/>
    <w:rsid w:val="00855BA0"/>
    <w:rsid w:val="008606F0"/>
    <w:rsid w:val="00862243"/>
    <w:rsid w:val="008625AC"/>
    <w:rsid w:val="00862813"/>
    <w:rsid w:val="00862888"/>
    <w:rsid w:val="00863ADF"/>
    <w:rsid w:val="00867C38"/>
    <w:rsid w:val="00870724"/>
    <w:rsid w:val="008709A2"/>
    <w:rsid w:val="00880B1B"/>
    <w:rsid w:val="00882B0F"/>
    <w:rsid w:val="00882EA6"/>
    <w:rsid w:val="008838D4"/>
    <w:rsid w:val="008844BC"/>
    <w:rsid w:val="00884DCD"/>
    <w:rsid w:val="008861BD"/>
    <w:rsid w:val="00895265"/>
    <w:rsid w:val="008A2640"/>
    <w:rsid w:val="008A302C"/>
    <w:rsid w:val="008A3734"/>
    <w:rsid w:val="008A5301"/>
    <w:rsid w:val="008A7A28"/>
    <w:rsid w:val="008B2C96"/>
    <w:rsid w:val="008B4517"/>
    <w:rsid w:val="008B55D8"/>
    <w:rsid w:val="008B621D"/>
    <w:rsid w:val="008C11E0"/>
    <w:rsid w:val="008C1534"/>
    <w:rsid w:val="008C1577"/>
    <w:rsid w:val="008C2841"/>
    <w:rsid w:val="008C6C29"/>
    <w:rsid w:val="008C76BA"/>
    <w:rsid w:val="008D001E"/>
    <w:rsid w:val="008D0F2E"/>
    <w:rsid w:val="008D4EFF"/>
    <w:rsid w:val="008E440D"/>
    <w:rsid w:val="008E48F6"/>
    <w:rsid w:val="008E4BB6"/>
    <w:rsid w:val="008E61EA"/>
    <w:rsid w:val="008F6A42"/>
    <w:rsid w:val="0090096A"/>
    <w:rsid w:val="009077AF"/>
    <w:rsid w:val="00907B19"/>
    <w:rsid w:val="00911227"/>
    <w:rsid w:val="009147AA"/>
    <w:rsid w:val="009149CE"/>
    <w:rsid w:val="00917406"/>
    <w:rsid w:val="00917D24"/>
    <w:rsid w:val="00925B0C"/>
    <w:rsid w:val="00925C19"/>
    <w:rsid w:val="0092742D"/>
    <w:rsid w:val="00942E12"/>
    <w:rsid w:val="009440C5"/>
    <w:rsid w:val="00944DAC"/>
    <w:rsid w:val="009513E0"/>
    <w:rsid w:val="00954306"/>
    <w:rsid w:val="00962676"/>
    <w:rsid w:val="00964827"/>
    <w:rsid w:val="00967301"/>
    <w:rsid w:val="009715E4"/>
    <w:rsid w:val="00971DDC"/>
    <w:rsid w:val="00974921"/>
    <w:rsid w:val="00975B89"/>
    <w:rsid w:val="00975CFE"/>
    <w:rsid w:val="009767D0"/>
    <w:rsid w:val="00980C55"/>
    <w:rsid w:val="00982286"/>
    <w:rsid w:val="009832B8"/>
    <w:rsid w:val="00985F85"/>
    <w:rsid w:val="00986464"/>
    <w:rsid w:val="00986DEA"/>
    <w:rsid w:val="00987161"/>
    <w:rsid w:val="009877EA"/>
    <w:rsid w:val="009A065C"/>
    <w:rsid w:val="009A10BC"/>
    <w:rsid w:val="009A1736"/>
    <w:rsid w:val="009A20FC"/>
    <w:rsid w:val="009A2B97"/>
    <w:rsid w:val="009A2BD7"/>
    <w:rsid w:val="009A5090"/>
    <w:rsid w:val="009A571D"/>
    <w:rsid w:val="009A7BFD"/>
    <w:rsid w:val="009B16D8"/>
    <w:rsid w:val="009B39ED"/>
    <w:rsid w:val="009B4D0D"/>
    <w:rsid w:val="009C070B"/>
    <w:rsid w:val="009C1838"/>
    <w:rsid w:val="009C5F0D"/>
    <w:rsid w:val="009C6D34"/>
    <w:rsid w:val="009D063B"/>
    <w:rsid w:val="009D0B56"/>
    <w:rsid w:val="009D0F2A"/>
    <w:rsid w:val="009D1E95"/>
    <w:rsid w:val="009D251E"/>
    <w:rsid w:val="009D337D"/>
    <w:rsid w:val="009D4EA3"/>
    <w:rsid w:val="009D6FC8"/>
    <w:rsid w:val="009E06C4"/>
    <w:rsid w:val="009E2D15"/>
    <w:rsid w:val="009E37C1"/>
    <w:rsid w:val="009E4F47"/>
    <w:rsid w:val="009E6D02"/>
    <w:rsid w:val="009F1A68"/>
    <w:rsid w:val="009F1E84"/>
    <w:rsid w:val="009F60B9"/>
    <w:rsid w:val="009F76BF"/>
    <w:rsid w:val="00A01679"/>
    <w:rsid w:val="00A051E2"/>
    <w:rsid w:val="00A05C4A"/>
    <w:rsid w:val="00A06EF7"/>
    <w:rsid w:val="00A109ED"/>
    <w:rsid w:val="00A10E5A"/>
    <w:rsid w:val="00A139B1"/>
    <w:rsid w:val="00A1552E"/>
    <w:rsid w:val="00A17C2C"/>
    <w:rsid w:val="00A17CA4"/>
    <w:rsid w:val="00A2101C"/>
    <w:rsid w:val="00A21A27"/>
    <w:rsid w:val="00A248E8"/>
    <w:rsid w:val="00A24BB9"/>
    <w:rsid w:val="00A31F06"/>
    <w:rsid w:val="00A34BD6"/>
    <w:rsid w:val="00A354B8"/>
    <w:rsid w:val="00A36F6D"/>
    <w:rsid w:val="00A37F2D"/>
    <w:rsid w:val="00A43E26"/>
    <w:rsid w:val="00A501EA"/>
    <w:rsid w:val="00A54BD2"/>
    <w:rsid w:val="00A5686F"/>
    <w:rsid w:val="00A56C36"/>
    <w:rsid w:val="00A56F10"/>
    <w:rsid w:val="00A56F71"/>
    <w:rsid w:val="00A56F83"/>
    <w:rsid w:val="00A60FC4"/>
    <w:rsid w:val="00A63E5E"/>
    <w:rsid w:val="00A65130"/>
    <w:rsid w:val="00A66580"/>
    <w:rsid w:val="00A72A49"/>
    <w:rsid w:val="00A73255"/>
    <w:rsid w:val="00A73716"/>
    <w:rsid w:val="00A73724"/>
    <w:rsid w:val="00A737A9"/>
    <w:rsid w:val="00A74BE5"/>
    <w:rsid w:val="00A75602"/>
    <w:rsid w:val="00A7624E"/>
    <w:rsid w:val="00A84526"/>
    <w:rsid w:val="00A856AD"/>
    <w:rsid w:val="00A87C76"/>
    <w:rsid w:val="00A95FBA"/>
    <w:rsid w:val="00AA0DC6"/>
    <w:rsid w:val="00AB4AC9"/>
    <w:rsid w:val="00AB4E36"/>
    <w:rsid w:val="00AB56BE"/>
    <w:rsid w:val="00AB5BE9"/>
    <w:rsid w:val="00AB6A5C"/>
    <w:rsid w:val="00AB7C10"/>
    <w:rsid w:val="00AC03EE"/>
    <w:rsid w:val="00AC0873"/>
    <w:rsid w:val="00AC3A20"/>
    <w:rsid w:val="00AD0FB0"/>
    <w:rsid w:val="00AD11F6"/>
    <w:rsid w:val="00AD21FB"/>
    <w:rsid w:val="00AD27E4"/>
    <w:rsid w:val="00AD3454"/>
    <w:rsid w:val="00AD37AF"/>
    <w:rsid w:val="00AD48B4"/>
    <w:rsid w:val="00AD63F2"/>
    <w:rsid w:val="00AD7539"/>
    <w:rsid w:val="00AD76AF"/>
    <w:rsid w:val="00AE0163"/>
    <w:rsid w:val="00AE0F7C"/>
    <w:rsid w:val="00AE14EB"/>
    <w:rsid w:val="00AE5BC6"/>
    <w:rsid w:val="00AF126D"/>
    <w:rsid w:val="00AF3F4A"/>
    <w:rsid w:val="00AF4F18"/>
    <w:rsid w:val="00AF63FC"/>
    <w:rsid w:val="00B01AD7"/>
    <w:rsid w:val="00B053CF"/>
    <w:rsid w:val="00B057A1"/>
    <w:rsid w:val="00B05C90"/>
    <w:rsid w:val="00B14D45"/>
    <w:rsid w:val="00B15701"/>
    <w:rsid w:val="00B17A43"/>
    <w:rsid w:val="00B2020B"/>
    <w:rsid w:val="00B20DBE"/>
    <w:rsid w:val="00B224B0"/>
    <w:rsid w:val="00B228F8"/>
    <w:rsid w:val="00B23D76"/>
    <w:rsid w:val="00B2413E"/>
    <w:rsid w:val="00B2438E"/>
    <w:rsid w:val="00B276E3"/>
    <w:rsid w:val="00B324DD"/>
    <w:rsid w:val="00B33717"/>
    <w:rsid w:val="00B35DCE"/>
    <w:rsid w:val="00B3712E"/>
    <w:rsid w:val="00B42C30"/>
    <w:rsid w:val="00B43A77"/>
    <w:rsid w:val="00B447DE"/>
    <w:rsid w:val="00B46B0B"/>
    <w:rsid w:val="00B52FD0"/>
    <w:rsid w:val="00B55EF4"/>
    <w:rsid w:val="00B57DAD"/>
    <w:rsid w:val="00B60F6C"/>
    <w:rsid w:val="00B6496F"/>
    <w:rsid w:val="00B675DA"/>
    <w:rsid w:val="00B67E84"/>
    <w:rsid w:val="00B722D1"/>
    <w:rsid w:val="00B748CB"/>
    <w:rsid w:val="00B751D1"/>
    <w:rsid w:val="00B80DC0"/>
    <w:rsid w:val="00B83AB4"/>
    <w:rsid w:val="00B8436D"/>
    <w:rsid w:val="00B84406"/>
    <w:rsid w:val="00B84A16"/>
    <w:rsid w:val="00B85FCD"/>
    <w:rsid w:val="00B86F21"/>
    <w:rsid w:val="00B9561A"/>
    <w:rsid w:val="00BA13EB"/>
    <w:rsid w:val="00BA1BCB"/>
    <w:rsid w:val="00BA1DB7"/>
    <w:rsid w:val="00BA1E26"/>
    <w:rsid w:val="00BA4F2C"/>
    <w:rsid w:val="00BA66C8"/>
    <w:rsid w:val="00BA74B1"/>
    <w:rsid w:val="00BB079E"/>
    <w:rsid w:val="00BB0EE4"/>
    <w:rsid w:val="00BB1144"/>
    <w:rsid w:val="00BB1ACC"/>
    <w:rsid w:val="00BB2090"/>
    <w:rsid w:val="00BB34BC"/>
    <w:rsid w:val="00BC1721"/>
    <w:rsid w:val="00BC36EB"/>
    <w:rsid w:val="00BC6410"/>
    <w:rsid w:val="00BD02B4"/>
    <w:rsid w:val="00BD2916"/>
    <w:rsid w:val="00BD2CD9"/>
    <w:rsid w:val="00BD4761"/>
    <w:rsid w:val="00BD533E"/>
    <w:rsid w:val="00BD5942"/>
    <w:rsid w:val="00BD79D6"/>
    <w:rsid w:val="00BE0561"/>
    <w:rsid w:val="00BE0C7A"/>
    <w:rsid w:val="00BE1415"/>
    <w:rsid w:val="00BE6C7C"/>
    <w:rsid w:val="00BE7618"/>
    <w:rsid w:val="00BE7E4D"/>
    <w:rsid w:val="00BF06F5"/>
    <w:rsid w:val="00BF583E"/>
    <w:rsid w:val="00BF64F7"/>
    <w:rsid w:val="00BF76DA"/>
    <w:rsid w:val="00C05DCA"/>
    <w:rsid w:val="00C072F1"/>
    <w:rsid w:val="00C1151D"/>
    <w:rsid w:val="00C125D9"/>
    <w:rsid w:val="00C139FD"/>
    <w:rsid w:val="00C16865"/>
    <w:rsid w:val="00C17F00"/>
    <w:rsid w:val="00C20F4C"/>
    <w:rsid w:val="00C21490"/>
    <w:rsid w:val="00C2583D"/>
    <w:rsid w:val="00C322A3"/>
    <w:rsid w:val="00C330B3"/>
    <w:rsid w:val="00C340D3"/>
    <w:rsid w:val="00C34114"/>
    <w:rsid w:val="00C36B8F"/>
    <w:rsid w:val="00C370AC"/>
    <w:rsid w:val="00C37F78"/>
    <w:rsid w:val="00C40998"/>
    <w:rsid w:val="00C40CC5"/>
    <w:rsid w:val="00C440A0"/>
    <w:rsid w:val="00C451E4"/>
    <w:rsid w:val="00C46F9D"/>
    <w:rsid w:val="00C46FD5"/>
    <w:rsid w:val="00C50606"/>
    <w:rsid w:val="00C53A24"/>
    <w:rsid w:val="00C53B43"/>
    <w:rsid w:val="00C5491E"/>
    <w:rsid w:val="00C57BB1"/>
    <w:rsid w:val="00C57D4A"/>
    <w:rsid w:val="00C62CA8"/>
    <w:rsid w:val="00C63D88"/>
    <w:rsid w:val="00C666F9"/>
    <w:rsid w:val="00C67D78"/>
    <w:rsid w:val="00C67EFC"/>
    <w:rsid w:val="00C706BB"/>
    <w:rsid w:val="00C70D6D"/>
    <w:rsid w:val="00C71E54"/>
    <w:rsid w:val="00C7266F"/>
    <w:rsid w:val="00C728B2"/>
    <w:rsid w:val="00C73384"/>
    <w:rsid w:val="00C770E4"/>
    <w:rsid w:val="00C77693"/>
    <w:rsid w:val="00C80E32"/>
    <w:rsid w:val="00C81C1B"/>
    <w:rsid w:val="00C91BA7"/>
    <w:rsid w:val="00C95552"/>
    <w:rsid w:val="00C95E31"/>
    <w:rsid w:val="00CA02C5"/>
    <w:rsid w:val="00CA22C4"/>
    <w:rsid w:val="00CA6A1B"/>
    <w:rsid w:val="00CB07E5"/>
    <w:rsid w:val="00CB30DE"/>
    <w:rsid w:val="00CB6187"/>
    <w:rsid w:val="00CB68F1"/>
    <w:rsid w:val="00CC3453"/>
    <w:rsid w:val="00CD1E8F"/>
    <w:rsid w:val="00CD21A5"/>
    <w:rsid w:val="00CD25E5"/>
    <w:rsid w:val="00CD3EDA"/>
    <w:rsid w:val="00CD57F5"/>
    <w:rsid w:val="00CD5EAC"/>
    <w:rsid w:val="00CD7CE1"/>
    <w:rsid w:val="00CE01A6"/>
    <w:rsid w:val="00CE090B"/>
    <w:rsid w:val="00CE2C0B"/>
    <w:rsid w:val="00CE36DA"/>
    <w:rsid w:val="00CE6DC4"/>
    <w:rsid w:val="00CF0F84"/>
    <w:rsid w:val="00CF20D4"/>
    <w:rsid w:val="00CF241E"/>
    <w:rsid w:val="00CF55F0"/>
    <w:rsid w:val="00CF6B37"/>
    <w:rsid w:val="00D01138"/>
    <w:rsid w:val="00D0317F"/>
    <w:rsid w:val="00D03210"/>
    <w:rsid w:val="00D04AAF"/>
    <w:rsid w:val="00D06F30"/>
    <w:rsid w:val="00D11884"/>
    <w:rsid w:val="00D11A80"/>
    <w:rsid w:val="00D12934"/>
    <w:rsid w:val="00D12BC5"/>
    <w:rsid w:val="00D14770"/>
    <w:rsid w:val="00D17C04"/>
    <w:rsid w:val="00D20454"/>
    <w:rsid w:val="00D24438"/>
    <w:rsid w:val="00D25C89"/>
    <w:rsid w:val="00D26DF9"/>
    <w:rsid w:val="00D2733A"/>
    <w:rsid w:val="00D31388"/>
    <w:rsid w:val="00D31FD0"/>
    <w:rsid w:val="00D34F45"/>
    <w:rsid w:val="00D35263"/>
    <w:rsid w:val="00D431AE"/>
    <w:rsid w:val="00D44C61"/>
    <w:rsid w:val="00D44D51"/>
    <w:rsid w:val="00D4679D"/>
    <w:rsid w:val="00D66943"/>
    <w:rsid w:val="00D674E5"/>
    <w:rsid w:val="00D67834"/>
    <w:rsid w:val="00D67B9B"/>
    <w:rsid w:val="00D70C5E"/>
    <w:rsid w:val="00D711F6"/>
    <w:rsid w:val="00D74911"/>
    <w:rsid w:val="00D74D35"/>
    <w:rsid w:val="00D76D27"/>
    <w:rsid w:val="00D807D5"/>
    <w:rsid w:val="00D814BF"/>
    <w:rsid w:val="00D8280A"/>
    <w:rsid w:val="00D866E7"/>
    <w:rsid w:val="00D867A7"/>
    <w:rsid w:val="00D87015"/>
    <w:rsid w:val="00D9159F"/>
    <w:rsid w:val="00D91B88"/>
    <w:rsid w:val="00D94CE1"/>
    <w:rsid w:val="00D96469"/>
    <w:rsid w:val="00D96D41"/>
    <w:rsid w:val="00D97C20"/>
    <w:rsid w:val="00DA15BD"/>
    <w:rsid w:val="00DA5E88"/>
    <w:rsid w:val="00DA66FD"/>
    <w:rsid w:val="00DA7B58"/>
    <w:rsid w:val="00DB12D2"/>
    <w:rsid w:val="00DB1527"/>
    <w:rsid w:val="00DB173C"/>
    <w:rsid w:val="00DB18C4"/>
    <w:rsid w:val="00DB6035"/>
    <w:rsid w:val="00DC1B57"/>
    <w:rsid w:val="00DC21F8"/>
    <w:rsid w:val="00DC51E9"/>
    <w:rsid w:val="00DC75EE"/>
    <w:rsid w:val="00DD1F20"/>
    <w:rsid w:val="00DD32F8"/>
    <w:rsid w:val="00DD4ACD"/>
    <w:rsid w:val="00DD5E85"/>
    <w:rsid w:val="00DD73D4"/>
    <w:rsid w:val="00DE0D25"/>
    <w:rsid w:val="00DE1DC3"/>
    <w:rsid w:val="00DE385B"/>
    <w:rsid w:val="00DE39E2"/>
    <w:rsid w:val="00DE4651"/>
    <w:rsid w:val="00DE56C4"/>
    <w:rsid w:val="00DE5AC5"/>
    <w:rsid w:val="00DE5B66"/>
    <w:rsid w:val="00DE636F"/>
    <w:rsid w:val="00DF2616"/>
    <w:rsid w:val="00DF3401"/>
    <w:rsid w:val="00DF5282"/>
    <w:rsid w:val="00DF79C3"/>
    <w:rsid w:val="00E02494"/>
    <w:rsid w:val="00E0308E"/>
    <w:rsid w:val="00E04543"/>
    <w:rsid w:val="00E10AAE"/>
    <w:rsid w:val="00E11B69"/>
    <w:rsid w:val="00E16CA9"/>
    <w:rsid w:val="00E16FB8"/>
    <w:rsid w:val="00E228C2"/>
    <w:rsid w:val="00E23ABD"/>
    <w:rsid w:val="00E23FE6"/>
    <w:rsid w:val="00E24302"/>
    <w:rsid w:val="00E26168"/>
    <w:rsid w:val="00E27188"/>
    <w:rsid w:val="00E30E8A"/>
    <w:rsid w:val="00E32AAC"/>
    <w:rsid w:val="00E360FE"/>
    <w:rsid w:val="00E364E3"/>
    <w:rsid w:val="00E40DCE"/>
    <w:rsid w:val="00E41367"/>
    <w:rsid w:val="00E44699"/>
    <w:rsid w:val="00E44A74"/>
    <w:rsid w:val="00E50D6F"/>
    <w:rsid w:val="00E52593"/>
    <w:rsid w:val="00E56F21"/>
    <w:rsid w:val="00E574EB"/>
    <w:rsid w:val="00E60748"/>
    <w:rsid w:val="00E629D0"/>
    <w:rsid w:val="00E6333F"/>
    <w:rsid w:val="00E63B2C"/>
    <w:rsid w:val="00E63E87"/>
    <w:rsid w:val="00E6486D"/>
    <w:rsid w:val="00E64F61"/>
    <w:rsid w:val="00E65EAF"/>
    <w:rsid w:val="00E67135"/>
    <w:rsid w:val="00E70660"/>
    <w:rsid w:val="00E73160"/>
    <w:rsid w:val="00E75777"/>
    <w:rsid w:val="00E75B52"/>
    <w:rsid w:val="00E8043A"/>
    <w:rsid w:val="00E81162"/>
    <w:rsid w:val="00E81EA1"/>
    <w:rsid w:val="00E9005E"/>
    <w:rsid w:val="00E90203"/>
    <w:rsid w:val="00E912F3"/>
    <w:rsid w:val="00E93211"/>
    <w:rsid w:val="00EA12B3"/>
    <w:rsid w:val="00EA52C0"/>
    <w:rsid w:val="00EA67CC"/>
    <w:rsid w:val="00EA69F3"/>
    <w:rsid w:val="00EB1580"/>
    <w:rsid w:val="00EB269F"/>
    <w:rsid w:val="00EB44F0"/>
    <w:rsid w:val="00EB5199"/>
    <w:rsid w:val="00EB63BC"/>
    <w:rsid w:val="00EC2D46"/>
    <w:rsid w:val="00EC31A7"/>
    <w:rsid w:val="00EC50B4"/>
    <w:rsid w:val="00EC5D9F"/>
    <w:rsid w:val="00EC6A00"/>
    <w:rsid w:val="00ED0F0E"/>
    <w:rsid w:val="00ED27AE"/>
    <w:rsid w:val="00ED3473"/>
    <w:rsid w:val="00ED3E45"/>
    <w:rsid w:val="00ED4220"/>
    <w:rsid w:val="00ED580D"/>
    <w:rsid w:val="00ED6246"/>
    <w:rsid w:val="00EE02A7"/>
    <w:rsid w:val="00EE0917"/>
    <w:rsid w:val="00EE2444"/>
    <w:rsid w:val="00EE4394"/>
    <w:rsid w:val="00EE479A"/>
    <w:rsid w:val="00EE514C"/>
    <w:rsid w:val="00EE681A"/>
    <w:rsid w:val="00EF0934"/>
    <w:rsid w:val="00EF2022"/>
    <w:rsid w:val="00EF3742"/>
    <w:rsid w:val="00EF39AE"/>
    <w:rsid w:val="00EF5172"/>
    <w:rsid w:val="00F00D38"/>
    <w:rsid w:val="00F03C36"/>
    <w:rsid w:val="00F0440F"/>
    <w:rsid w:val="00F12F07"/>
    <w:rsid w:val="00F153B7"/>
    <w:rsid w:val="00F200C6"/>
    <w:rsid w:val="00F213CA"/>
    <w:rsid w:val="00F219C6"/>
    <w:rsid w:val="00F21DC8"/>
    <w:rsid w:val="00F26CB1"/>
    <w:rsid w:val="00F3361D"/>
    <w:rsid w:val="00F367E2"/>
    <w:rsid w:val="00F368C7"/>
    <w:rsid w:val="00F4154F"/>
    <w:rsid w:val="00F42DB6"/>
    <w:rsid w:val="00F436D6"/>
    <w:rsid w:val="00F43BCE"/>
    <w:rsid w:val="00F478B6"/>
    <w:rsid w:val="00F47A4E"/>
    <w:rsid w:val="00F47BBC"/>
    <w:rsid w:val="00F51A36"/>
    <w:rsid w:val="00F53E13"/>
    <w:rsid w:val="00F55E5C"/>
    <w:rsid w:val="00F615CF"/>
    <w:rsid w:val="00F626F0"/>
    <w:rsid w:val="00F62B47"/>
    <w:rsid w:val="00F6345C"/>
    <w:rsid w:val="00F650AB"/>
    <w:rsid w:val="00F67477"/>
    <w:rsid w:val="00F71B3D"/>
    <w:rsid w:val="00F73D38"/>
    <w:rsid w:val="00F74B37"/>
    <w:rsid w:val="00F76C48"/>
    <w:rsid w:val="00F770CB"/>
    <w:rsid w:val="00F8244E"/>
    <w:rsid w:val="00F87E96"/>
    <w:rsid w:val="00F90CBB"/>
    <w:rsid w:val="00F90E68"/>
    <w:rsid w:val="00F91E12"/>
    <w:rsid w:val="00F923ED"/>
    <w:rsid w:val="00F93C31"/>
    <w:rsid w:val="00FA27C0"/>
    <w:rsid w:val="00FA28A1"/>
    <w:rsid w:val="00FA28C9"/>
    <w:rsid w:val="00FA2B9A"/>
    <w:rsid w:val="00FA7968"/>
    <w:rsid w:val="00FB75D9"/>
    <w:rsid w:val="00FB7D7E"/>
    <w:rsid w:val="00FB7F37"/>
    <w:rsid w:val="00FC08BE"/>
    <w:rsid w:val="00FC1E80"/>
    <w:rsid w:val="00FC642C"/>
    <w:rsid w:val="00FD32F7"/>
    <w:rsid w:val="00FD5119"/>
    <w:rsid w:val="00FD59E3"/>
    <w:rsid w:val="00FE3870"/>
    <w:rsid w:val="00FE4510"/>
    <w:rsid w:val="00FE489F"/>
    <w:rsid w:val="00FE4B3B"/>
    <w:rsid w:val="00FE663C"/>
    <w:rsid w:val="00FF23B5"/>
    <w:rsid w:val="00FF29CC"/>
    <w:rsid w:val="00FF3F5F"/>
    <w:rsid w:val="00FF6282"/>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799DC3"/>
  <w14:defaultImageDpi w14:val="330"/>
  <w15:docId w15:val="{CE8F81BE-AA33-4960-A499-ABA3E4B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436D5A"/>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25"/>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25"/>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25"/>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25"/>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25"/>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9F76BF"/>
    <w:rPr>
      <w:color w:val="800080" w:themeColor="followedHyperlink"/>
      <w:u w:val="single"/>
    </w:rPr>
  </w:style>
  <w:style w:type="character" w:customStyle="1" w:styleId="UnresolvedMention3">
    <w:name w:val="Unresolved Mention3"/>
    <w:basedOn w:val="DefaultParagraphFont"/>
    <w:uiPriority w:val="99"/>
    <w:semiHidden/>
    <w:unhideWhenUsed/>
    <w:rsid w:val="008A3734"/>
    <w:rPr>
      <w:color w:val="605E5C"/>
      <w:shd w:val="clear" w:color="auto" w:fill="E1DFDD"/>
    </w:rPr>
  </w:style>
  <w:style w:type="paragraph" w:styleId="Revision">
    <w:name w:val="Revision"/>
    <w:hidden/>
    <w:uiPriority w:val="99"/>
    <w:semiHidden/>
    <w:rsid w:val="003F7B3F"/>
    <w:rPr>
      <w:rFonts w:ascii="Arial" w:hAnsi="Arial" w:cs="Arial"/>
      <w:color w:val="auto"/>
    </w:rPr>
  </w:style>
  <w:style w:type="paragraph" w:styleId="NormalWeb">
    <w:name w:val="Normal (Web)"/>
    <w:basedOn w:val="Normal"/>
    <w:uiPriority w:val="99"/>
    <w:semiHidden/>
    <w:unhideWhenUsed/>
    <w:rsid w:val="002856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415">
      <w:bodyDiv w:val="1"/>
      <w:marLeft w:val="0"/>
      <w:marRight w:val="0"/>
      <w:marTop w:val="0"/>
      <w:marBottom w:val="0"/>
      <w:divBdr>
        <w:top w:val="none" w:sz="0" w:space="0" w:color="auto"/>
        <w:left w:val="none" w:sz="0" w:space="0" w:color="auto"/>
        <w:bottom w:val="none" w:sz="0" w:space="0" w:color="auto"/>
        <w:right w:val="none" w:sz="0" w:space="0" w:color="auto"/>
      </w:divBdr>
    </w:div>
    <w:div w:id="20981037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50031">
      <w:bodyDiv w:val="1"/>
      <w:marLeft w:val="0"/>
      <w:marRight w:val="0"/>
      <w:marTop w:val="0"/>
      <w:marBottom w:val="0"/>
      <w:divBdr>
        <w:top w:val="none" w:sz="0" w:space="0" w:color="auto"/>
        <w:left w:val="none" w:sz="0" w:space="0" w:color="auto"/>
        <w:bottom w:val="none" w:sz="0" w:space="0" w:color="auto"/>
        <w:right w:val="none" w:sz="0" w:space="0" w:color="auto"/>
      </w:divBdr>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7331">
      <w:bodyDiv w:val="1"/>
      <w:marLeft w:val="0"/>
      <w:marRight w:val="0"/>
      <w:marTop w:val="0"/>
      <w:marBottom w:val="0"/>
      <w:divBdr>
        <w:top w:val="none" w:sz="0" w:space="0" w:color="auto"/>
        <w:left w:val="none" w:sz="0" w:space="0" w:color="auto"/>
        <w:bottom w:val="none" w:sz="0" w:space="0" w:color="auto"/>
        <w:right w:val="none" w:sz="0" w:space="0" w:color="auto"/>
      </w:divBdr>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1011760939">
      <w:bodyDiv w:val="1"/>
      <w:marLeft w:val="0"/>
      <w:marRight w:val="0"/>
      <w:marTop w:val="0"/>
      <w:marBottom w:val="0"/>
      <w:divBdr>
        <w:top w:val="none" w:sz="0" w:space="0" w:color="auto"/>
        <w:left w:val="none" w:sz="0" w:space="0" w:color="auto"/>
        <w:bottom w:val="none" w:sz="0" w:space="0" w:color="auto"/>
        <w:right w:val="none" w:sz="0" w:space="0" w:color="auto"/>
      </w:divBdr>
    </w:div>
    <w:div w:id="1178302859">
      <w:bodyDiv w:val="1"/>
      <w:marLeft w:val="0"/>
      <w:marRight w:val="0"/>
      <w:marTop w:val="0"/>
      <w:marBottom w:val="0"/>
      <w:divBdr>
        <w:top w:val="none" w:sz="0" w:space="0" w:color="auto"/>
        <w:left w:val="none" w:sz="0" w:space="0" w:color="auto"/>
        <w:bottom w:val="none" w:sz="0" w:space="0" w:color="auto"/>
        <w:right w:val="none" w:sz="0" w:space="0" w:color="auto"/>
      </w:divBdr>
    </w:div>
    <w:div w:id="120895449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
          <w:marLeft w:val="0"/>
          <w:marRight w:val="0"/>
          <w:marTop w:val="0"/>
          <w:marBottom w:val="0"/>
          <w:divBdr>
            <w:top w:val="none" w:sz="0" w:space="0" w:color="auto"/>
            <w:left w:val="none" w:sz="0" w:space="0" w:color="auto"/>
            <w:bottom w:val="none" w:sz="0" w:space="0" w:color="auto"/>
            <w:right w:val="none" w:sz="0" w:space="0" w:color="auto"/>
          </w:divBdr>
          <w:divsChild>
            <w:div w:id="988439502">
              <w:marLeft w:val="0"/>
              <w:marRight w:val="0"/>
              <w:marTop w:val="0"/>
              <w:marBottom w:val="0"/>
              <w:divBdr>
                <w:top w:val="none" w:sz="0" w:space="0" w:color="auto"/>
                <w:left w:val="none" w:sz="0" w:space="0" w:color="auto"/>
                <w:bottom w:val="none" w:sz="0" w:space="0" w:color="auto"/>
                <w:right w:val="none" w:sz="0" w:space="0" w:color="auto"/>
              </w:divBdr>
              <w:divsChild>
                <w:div w:id="1395205040">
                  <w:marLeft w:val="0"/>
                  <w:marRight w:val="0"/>
                  <w:marTop w:val="0"/>
                  <w:marBottom w:val="0"/>
                  <w:divBdr>
                    <w:top w:val="none" w:sz="0" w:space="0" w:color="auto"/>
                    <w:left w:val="none" w:sz="0" w:space="0" w:color="auto"/>
                    <w:bottom w:val="none" w:sz="0" w:space="0" w:color="auto"/>
                    <w:right w:val="none" w:sz="0" w:space="0" w:color="auto"/>
                  </w:divBdr>
                  <w:divsChild>
                    <w:div w:id="1292516418">
                      <w:marLeft w:val="0"/>
                      <w:marRight w:val="0"/>
                      <w:marTop w:val="0"/>
                      <w:marBottom w:val="0"/>
                      <w:divBdr>
                        <w:top w:val="none" w:sz="0" w:space="0" w:color="auto"/>
                        <w:left w:val="none" w:sz="0" w:space="0" w:color="auto"/>
                        <w:bottom w:val="none" w:sz="0" w:space="0" w:color="auto"/>
                        <w:right w:val="none" w:sz="0" w:space="0" w:color="auto"/>
                      </w:divBdr>
                      <w:divsChild>
                        <w:div w:id="30768539">
                          <w:marLeft w:val="0"/>
                          <w:marRight w:val="0"/>
                          <w:marTop w:val="0"/>
                          <w:marBottom w:val="0"/>
                          <w:divBdr>
                            <w:top w:val="none" w:sz="0" w:space="0" w:color="auto"/>
                            <w:left w:val="none" w:sz="0" w:space="0" w:color="auto"/>
                            <w:bottom w:val="none" w:sz="0" w:space="0" w:color="auto"/>
                            <w:right w:val="none" w:sz="0" w:space="0" w:color="auto"/>
                          </w:divBdr>
                          <w:divsChild>
                            <w:div w:id="86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1765">
      <w:bodyDiv w:val="1"/>
      <w:marLeft w:val="0"/>
      <w:marRight w:val="0"/>
      <w:marTop w:val="0"/>
      <w:marBottom w:val="0"/>
      <w:divBdr>
        <w:top w:val="none" w:sz="0" w:space="0" w:color="auto"/>
        <w:left w:val="none" w:sz="0" w:space="0" w:color="auto"/>
        <w:bottom w:val="none" w:sz="0" w:space="0" w:color="auto"/>
        <w:right w:val="none" w:sz="0" w:space="0" w:color="auto"/>
      </w:divBdr>
    </w:div>
    <w:div w:id="1430127549">
      <w:bodyDiv w:val="1"/>
      <w:marLeft w:val="0"/>
      <w:marRight w:val="0"/>
      <w:marTop w:val="0"/>
      <w:marBottom w:val="0"/>
      <w:divBdr>
        <w:top w:val="none" w:sz="0" w:space="0" w:color="auto"/>
        <w:left w:val="none" w:sz="0" w:space="0" w:color="auto"/>
        <w:bottom w:val="none" w:sz="0" w:space="0" w:color="auto"/>
        <w:right w:val="none" w:sz="0" w:space="0" w:color="auto"/>
      </w:divBdr>
    </w:div>
    <w:div w:id="1531532557">
      <w:bodyDiv w:val="1"/>
      <w:marLeft w:val="0"/>
      <w:marRight w:val="0"/>
      <w:marTop w:val="0"/>
      <w:marBottom w:val="0"/>
      <w:divBdr>
        <w:top w:val="none" w:sz="0" w:space="0" w:color="auto"/>
        <w:left w:val="none" w:sz="0" w:space="0" w:color="auto"/>
        <w:bottom w:val="none" w:sz="0" w:space="0" w:color="auto"/>
        <w:right w:val="none" w:sz="0" w:space="0" w:color="auto"/>
      </w:divBdr>
    </w:div>
    <w:div w:id="2021664177">
      <w:bodyDiv w:val="1"/>
      <w:marLeft w:val="0"/>
      <w:marRight w:val="0"/>
      <w:marTop w:val="0"/>
      <w:marBottom w:val="0"/>
      <w:divBdr>
        <w:top w:val="none" w:sz="0" w:space="0" w:color="auto"/>
        <w:left w:val="none" w:sz="0" w:space="0" w:color="auto"/>
        <w:bottom w:val="none" w:sz="0" w:space="0" w:color="auto"/>
        <w:right w:val="none" w:sz="0" w:space="0" w:color="auto"/>
      </w:divBdr>
    </w:div>
    <w:div w:id="210556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arolynthurstonsmith@lawscot.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improving-outcomes-for-members-of-defined-contribution-pension-sche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73WM5REP3J34-430527378-2699</_dlc_DocId>
    <_dlc_DocIdUrl xmlns="3595a3b4-95e1-40b3-9976-0da52ff3c1d6">
      <Url>http://thehub/teams/externalrelations/policy/_layouts/15/DocIdRedir.aspx?ID=73WM5REP3J34-430527378-2699</Url>
      <Description>73WM5REP3J34-430527378-2699</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3.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C49328BEF569C84AA882C1C2877A1118" ma:contentTypeVersion="21" ma:contentTypeDescription="Create a new document." ma:contentTypeScope="" ma:versionID="4f993ed64510ef082b48fb703a0f28e7">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2.xml><?xml version="1.0" encoding="utf-8"?>
<ds:datastoreItem xmlns:ds="http://schemas.openxmlformats.org/officeDocument/2006/customXml" ds:itemID="{43E4E428-A19A-4D5B-B502-CDA8BBCB3B3B}">
  <ds:schemaRefs>
    <ds:schemaRef ds:uri="http://purl.org/dc/dcmitype/"/>
    <ds:schemaRef ds:uri="http://schemas.openxmlformats.org/package/2006/metadata/core-properties"/>
    <ds:schemaRef ds:uri="http://schemas.microsoft.com/office/infopath/2007/PartnerControls"/>
    <ds:schemaRef ds:uri="http://purl.org/dc/elements/1.1/"/>
    <ds:schemaRef ds:uri="3595a3b4-95e1-40b3-9976-0da52ff3c1d6"/>
    <ds:schemaRef ds:uri="http://schemas.microsoft.com/office/2006/documentManagement/types"/>
    <ds:schemaRef ds:uri="http://purl.org/dc/terms/"/>
    <ds:schemaRef ds:uri="c580686b-3c78-40fc-8280-257271cf61a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896D3D-2E22-47FC-954D-42C03610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5.xml><?xml version="1.0" encoding="utf-8"?>
<ds:datastoreItem xmlns:ds="http://schemas.openxmlformats.org/officeDocument/2006/customXml" ds:itemID="{47437AA8-9EB3-43DE-9BFD-D7C72B71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4</cp:revision>
  <cp:lastPrinted>2020-02-07T16:50:00Z</cp:lastPrinted>
  <dcterms:created xsi:type="dcterms:W3CDTF">2020-10-28T19:20:00Z</dcterms:created>
  <dcterms:modified xsi:type="dcterms:W3CDTF">2020-10-28T19:32:00Z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0x010100F6C9EF00BFCE744FB82DB39B849666BF0300C49328BEF569C84AA882C1C2877A1118</vt:lpwstr>
  </property>
  <property fmtid="{D5CDD505-2E9C-101B-9397-08002B2CF9AE}" pid="4" name="Directorate">
    <vt:lpwstr>85;#Policy|aecfea83-9977-479d-b767-7534296e6eb4</vt:lpwstr>
  </property>
  <property fmtid="{D5CDD505-2E9C-101B-9397-08002B2CF9AE}" pid="5" name="_dlc_DocIdItemGuid">
    <vt:lpwstr>dffbd0e1-43eb-4922-8aec-f02e98a01b68</vt:lpwstr>
  </property>
  <property fmtid="{D5CDD505-2E9C-101B-9397-08002B2CF9AE}" pid="6" name="Committee">
    <vt:lpwstr/>
  </property>
</Properties>
</file>