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C1548" w14:textId="77777777" w:rsidR="008426DD" w:rsidRPr="008426DD" w:rsidRDefault="008426DD" w:rsidP="008426DD">
      <w:pPr>
        <w:jc w:val="center"/>
        <w:rPr>
          <w:b/>
          <w:bCs/>
          <w:sz w:val="28"/>
          <w:szCs w:val="28"/>
        </w:rPr>
      </w:pPr>
      <w:r w:rsidRPr="008426DD">
        <w:rPr>
          <w:b/>
          <w:bCs/>
          <w:sz w:val="28"/>
          <w:szCs w:val="28"/>
        </w:rPr>
        <w:t>Success Fee Agreement Template – Explanatory Note</w:t>
      </w:r>
    </w:p>
    <w:p w14:paraId="3EED7947" w14:textId="6BA0C51E" w:rsidR="00C11CE4" w:rsidRDefault="00C11CE4">
      <w:r>
        <w:t xml:space="preserve">The 2018 Act and the 2020 regulations prohibit the </w:t>
      </w:r>
      <w:r w:rsidR="00F00A20">
        <w:t>client</w:t>
      </w:r>
      <w:r>
        <w:t xml:space="preserve"> being charged anything other than a Success Fee and an After the Event Insurance premium. However, that assumes the Recipient abides by their obligations under the Success Fee Agreement</w:t>
      </w:r>
      <w:r w:rsidR="002E0DEC">
        <w:t xml:space="preserve"> (SFA)</w:t>
      </w:r>
      <w:r>
        <w:t xml:space="preserve">. Clause 2 </w:t>
      </w:r>
      <w:r w:rsidR="00442213">
        <w:t xml:space="preserve">of the template </w:t>
      </w:r>
      <w:r>
        <w:t xml:space="preserve">sets out what their obligations are. </w:t>
      </w:r>
    </w:p>
    <w:p w14:paraId="7A7F62AB" w14:textId="76189309" w:rsidR="00442213" w:rsidRDefault="00C11CE4">
      <w:r>
        <w:t xml:space="preserve">The legislation also makes it clear </w:t>
      </w:r>
      <w:r w:rsidR="00F00A20">
        <w:t>that the S</w:t>
      </w:r>
      <w:r w:rsidR="002E0DEC">
        <w:t>FA</w:t>
      </w:r>
      <w:r w:rsidR="00F00A20">
        <w:t xml:space="preserve"> has to outline </w:t>
      </w:r>
      <w:r>
        <w:t xml:space="preserve">what the Recipient will have to pay if the agreement is terminated. </w:t>
      </w:r>
    </w:p>
    <w:p w14:paraId="4C576C9C" w14:textId="72A7A6EC" w:rsidR="00F00A20" w:rsidRDefault="00C11CE4">
      <w:r>
        <w:t xml:space="preserve">Clause 5 </w:t>
      </w:r>
      <w:r w:rsidR="002E0DEC">
        <w:t xml:space="preserve">of the style SFA </w:t>
      </w:r>
      <w:r>
        <w:t xml:space="preserve">deals with the charging basis depending on which element of clause 2 is breached. The view taken by the Law Society’s working group is that clauses 2 </w:t>
      </w:r>
      <w:r w:rsidR="00F00A20">
        <w:t>(</w:t>
      </w:r>
      <w:r>
        <w:t>a</w:t>
      </w:r>
      <w:r w:rsidR="00F00A20">
        <w:t>)</w:t>
      </w:r>
      <w:r>
        <w:t xml:space="preserve"> to </w:t>
      </w:r>
      <w:r w:rsidR="00F00A20">
        <w:t>(</w:t>
      </w:r>
      <w:r>
        <w:t>e</w:t>
      </w:r>
      <w:r w:rsidR="00F00A20">
        <w:t>)</w:t>
      </w:r>
      <w:r>
        <w:t xml:space="preserve"> inclusive are “conduct” breaches where the Recipient’s conduct justifies time and line charging</w:t>
      </w:r>
      <w:r w:rsidR="00F00A20">
        <w:t xml:space="preserve">, and that remains the position in the revised agreement. However, it was considered a potential bar to accessing a second opinion where a genuine difference of opinion arises between Provider and </w:t>
      </w:r>
      <w:r w:rsidR="00E364AA">
        <w:t>Recipient</w:t>
      </w:r>
      <w:r w:rsidR="00F00A20">
        <w:t xml:space="preserve"> on the issues of prospects of success or acceptance of a settlement offer if </w:t>
      </w:r>
      <w:r w:rsidR="00E364AA">
        <w:t>Recipient</w:t>
      </w:r>
      <w:r w:rsidR="00F00A20">
        <w:t xml:space="preserve"> faced time and line charging in those scenarios.  </w:t>
      </w:r>
    </w:p>
    <w:p w14:paraId="5687E5F5" w14:textId="77777777" w:rsidR="002E0DEC" w:rsidRDefault="002E0DEC">
      <w:r>
        <w:t>The template SFA is now worded in such a way that:</w:t>
      </w:r>
    </w:p>
    <w:p w14:paraId="7B902A00" w14:textId="6F1011BC" w:rsidR="002E0DEC" w:rsidRDefault="00F00A20" w:rsidP="002E0DEC">
      <w:pPr>
        <w:pStyle w:val="ListParagraph"/>
        <w:numPr>
          <w:ilvl w:val="0"/>
          <w:numId w:val="1"/>
        </w:numPr>
      </w:pPr>
      <w:r>
        <w:t xml:space="preserve">If advice about prospects are rejected but the </w:t>
      </w:r>
      <w:r w:rsidR="00E364AA">
        <w:t>Recipient</w:t>
      </w:r>
      <w:r>
        <w:t xml:space="preserve"> goes on to win, the original </w:t>
      </w:r>
      <w:r w:rsidR="00E364AA">
        <w:t>P</w:t>
      </w:r>
      <w:r>
        <w:t>rovider is not entitled to a share of the success fee</w:t>
      </w:r>
      <w:r w:rsidR="00442213">
        <w:t>, only a fair share of recovered judicial expenses</w:t>
      </w:r>
      <w:r>
        <w:t xml:space="preserve">. </w:t>
      </w:r>
    </w:p>
    <w:p w14:paraId="7579A35B" w14:textId="12DD8D4A" w:rsidR="002E0DEC" w:rsidRDefault="00F00A20" w:rsidP="002E0DEC">
      <w:pPr>
        <w:pStyle w:val="ListParagraph"/>
        <w:numPr>
          <w:ilvl w:val="0"/>
          <w:numId w:val="1"/>
        </w:numPr>
      </w:pPr>
      <w:r>
        <w:t xml:space="preserve">If advice about settlement is rejected and the </w:t>
      </w:r>
      <w:r w:rsidR="00E364AA">
        <w:t>Recipient</w:t>
      </w:r>
      <w:r>
        <w:t xml:space="preserve"> goes onto win</w:t>
      </w:r>
      <w:r w:rsidR="001E0557">
        <w:t>,</w:t>
      </w:r>
      <w:r>
        <w:t xml:space="preserve"> the original </w:t>
      </w:r>
      <w:r w:rsidR="00E364AA">
        <w:t>P</w:t>
      </w:r>
      <w:r>
        <w:t xml:space="preserve">rovider is entitled to charge a success fee calculated by reference to the value of the financial benefit which the recipient </w:t>
      </w:r>
      <w:r w:rsidR="002E0DEC">
        <w:t xml:space="preserve">actually </w:t>
      </w:r>
      <w:r>
        <w:t>obtains, capped at what the success fee would have been if the settlement advice had been accepted.</w:t>
      </w:r>
    </w:p>
    <w:p w14:paraId="07290F03" w14:textId="3D33FF70" w:rsidR="00C11CE4" w:rsidRDefault="00F00A20" w:rsidP="002E0DEC">
      <w:pPr>
        <w:pStyle w:val="ListParagraph"/>
        <w:numPr>
          <w:ilvl w:val="0"/>
          <w:numId w:val="1"/>
        </w:numPr>
      </w:pPr>
      <w:r>
        <w:t xml:space="preserve">If advice about settlement is rejected and the </w:t>
      </w:r>
      <w:r w:rsidR="00E364AA">
        <w:t>Recipient</w:t>
      </w:r>
      <w:r>
        <w:t xml:space="preserve"> goes on to lose, </w:t>
      </w:r>
      <w:r w:rsidR="001E0557">
        <w:t xml:space="preserve">they only have to pay the original </w:t>
      </w:r>
      <w:r w:rsidR="00E364AA">
        <w:t>P</w:t>
      </w:r>
      <w:r w:rsidR="001E0557">
        <w:t>rovider for the outlays which they incurred or were committed to incur prior to the agreement being terminated.</w:t>
      </w:r>
    </w:p>
    <w:p w14:paraId="35D81F11" w14:textId="2D85F4AA" w:rsidR="001E0557" w:rsidRDefault="001E0557">
      <w:r>
        <w:t xml:space="preserve">It remains open to all Providers to adapt the wording of the template on a case by case basis to suit the needs of specific </w:t>
      </w:r>
      <w:r w:rsidR="00E364AA">
        <w:t>Recipients</w:t>
      </w:r>
      <w:r>
        <w:t xml:space="preserve"> provided the terms are compliant with the 2018 Act and 2020 regulations. </w:t>
      </w:r>
    </w:p>
    <w:sectPr w:rsidR="001E0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97ECF"/>
    <w:multiLevelType w:val="hybridMultilevel"/>
    <w:tmpl w:val="34FE3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E4"/>
    <w:rsid w:val="001E0557"/>
    <w:rsid w:val="002E0DEC"/>
    <w:rsid w:val="003E474A"/>
    <w:rsid w:val="00442213"/>
    <w:rsid w:val="008426DD"/>
    <w:rsid w:val="00BF6B9D"/>
    <w:rsid w:val="00C11CE4"/>
    <w:rsid w:val="00E364AA"/>
    <w:rsid w:val="00E63A98"/>
    <w:rsid w:val="00F0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9AC2"/>
  <w15:chartTrackingRefBased/>
  <w15:docId w15:val="{B225C61D-619A-478D-A36D-F9E59852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F6C9EF00BFCE744FB82DB39B849666BF0F0071FADE12B580074EB17A74D1705D372B" ma:contentTypeVersion="21" ma:contentTypeDescription="" ma:contentTypeScope="" ma:versionID="8a3dad82d9a473db01dfccada0b45d1b">
  <xsd:schema xmlns:xsd="http://www.w3.org/2001/XMLSchema" xmlns:xs="http://www.w3.org/2001/XMLSchema" xmlns:p="http://schemas.microsoft.com/office/2006/metadata/properties" xmlns:ns2="c580686b-3c78-40fc-8280-257271cf61a5" xmlns:ns3="3595a3b4-95e1-40b3-9976-0da52ff3c1d6" targetNamespace="http://schemas.microsoft.com/office/2006/metadata/properties" ma:root="true" ma:fieldsID="94e0481c0a9f972d602e8754fcd4e6a8" ns2:_="" ns3:_="">
    <xsd:import namespace="c580686b-3c78-40fc-8280-257271cf61a5"/>
    <xsd:import namespace="3595a3b4-95e1-40b3-9976-0da52ff3c1d6"/>
    <xsd:element name="properties">
      <xsd:complexType>
        <xsd:sequence>
          <xsd:element name="documentManagement">
            <xsd:complexType>
              <xsd:all>
                <xsd:element ref="ns2:m73f487bf6df40bd884c3d6035f2f3bf" minOccurs="0"/>
                <xsd:element ref="ns3:TaxCatchAll" minOccurs="0"/>
                <xsd:element ref="ns3:TaxCatchAllLabel" minOccurs="0"/>
                <xsd:element ref="ns2:j51334b8464a403e8708c44b550590d2" minOccurs="0"/>
                <xsd:element ref="ns3:_dlc_DocId" minOccurs="0"/>
                <xsd:element ref="ns3:_dlc_DocIdUrl" minOccurs="0"/>
                <xsd:element ref="ns3:_dlc_DocIdPersistId" minOccurs="0"/>
                <xsd:element ref="ns3:DocumentType"/>
                <xsd:element ref="ns3:BWPersonalInfo"/>
                <xsd:element ref="ns3:BWMembersRecor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0686b-3c78-40fc-8280-257271cf61a5" elementFormDefault="qualified">
    <xsd:import namespace="http://schemas.microsoft.com/office/2006/documentManagement/types"/>
    <xsd:import namespace="http://schemas.microsoft.com/office/infopath/2007/PartnerControls"/>
    <xsd:element name="m73f487bf6df40bd884c3d6035f2f3bf" ma:index="8" nillable="true" ma:taxonomy="true" ma:internalName="m73f487bf6df40bd884c3d6035f2f3bf" ma:taxonomyFieldName="Directorate" ma:displayName="Directorate" ma:readOnly="false" ma:default="" ma:fieldId="{673f487b-f6df-40bd-884c-3d6035f2f3bf}" ma:taxonomyMulti="true" ma:sspId="87924c18-ef0d-45fa-92dd-8778deef43bf" ma:termSetId="a601863f-1317-44d8-8661-4b0d80eb83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1334b8464a403e8708c44b550590d2" ma:index="12" nillable="true" ma:taxonomy="true" ma:internalName="j51334b8464a403e8708c44b550590d2" ma:taxonomyFieldName="Committee" ma:displayName="Committee" ma:default="" ma:fieldId="{351334b8-464a-403e-8708-c44b550590d2}" ma:taxonomyMulti="true" ma:sspId="87924c18-ef0d-45fa-92dd-8778deef43bf" ma:termSetId="ade3e510-b0c6-4201-b84b-391c47e7439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5a3b4-95e1-40b3-9976-0da52ff3c1d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4158ff0-55b0-4b44-b20b-4d4e03b46bf1}" ma:internalName="TaxCatchAll" ma:showField="CatchAllData" ma:web="3595a3b4-95e1-40b3-9976-0da52ff3c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4158ff0-55b0-4b44-b20b-4d4e03b46bf1}" ma:internalName="TaxCatchAllLabel" ma:readOnly="true" ma:showField="CatchAllDataLabel" ma:web="3595a3b4-95e1-40b3-9976-0da52ff3c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Type" ma:index="17" ma:displayName="Document Type" ma:format="Dropdown" ma:internalName="DocumentType">
      <xsd:simpleType>
        <xsd:restriction base="dms:Choice">
          <xsd:enumeration value="Application"/>
          <xsd:enumeration value="Complaint"/>
          <xsd:enumeration value="CPD"/>
          <xsd:enumeration value="Traineeships and exams"/>
          <xsd:enumeration value="Street law programme"/>
          <xsd:enumeration value="General enquiry"/>
          <xsd:enumeration value="General enquiry with regulatory action taken"/>
          <xsd:enumeration value="Governance"/>
          <xsd:enumeration value="HR"/>
          <xsd:enumeration value="Finance"/>
          <xsd:enumeration value="Inspection"/>
          <xsd:enumeration value="Marketing"/>
          <xsd:enumeration value="Marketing Video and Photography"/>
          <xsd:enumeration value="Membership"/>
          <xsd:enumeration value="Prof support"/>
          <xsd:enumeration value="Research"/>
          <xsd:enumeration value="System Access and Security"/>
          <xsd:enumeration value="Interventions"/>
          <xsd:enumeration value="N/A"/>
        </xsd:restriction>
      </xsd:simpleType>
    </xsd:element>
    <xsd:element name="BWPersonalInfo" ma:index="18" ma:displayName="Personal Info" ma:format="Dropdown" ma:internalName="BWPersonalInfo">
      <xsd:simpleType>
        <xsd:restriction base="dms:Choice">
          <xsd:enumeration value="Yes"/>
          <xsd:enumeration value="No"/>
        </xsd:restriction>
      </xsd:simpleType>
    </xsd:element>
    <xsd:element name="BWMembersRecord" ma:index="19" ma:displayName="Relates to members record" ma:format="Dropdown" ma:internalName="BWMembersRecord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3f487bf6df40bd884c3d6035f2f3bf xmlns="c580686b-3c78-40fc-8280-257271cf61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Professional Practice</TermName>
          <TermId xmlns="http://schemas.microsoft.com/office/infopath/2007/PartnerControls">393b427a-5634-470e-91da-4ab7fd41378d</TermId>
        </TermInfo>
      </Terms>
    </m73f487bf6df40bd884c3d6035f2f3bf>
    <BWMembersRecord xmlns="3595a3b4-95e1-40b3-9976-0da52ff3c1d6">No</BWMembersRecord>
    <DocumentType xmlns="3595a3b4-95e1-40b3-9976-0da52ff3c1d6">Prof support</DocumentType>
    <j51334b8464a403e8708c44b550590d2 xmlns="c580686b-3c78-40fc-8280-257271cf61a5">
      <Terms xmlns="http://schemas.microsoft.com/office/infopath/2007/PartnerControls"/>
    </j51334b8464a403e8708c44b550590d2>
    <BWPersonalInfo xmlns="3595a3b4-95e1-40b3-9976-0da52ff3c1d6">No</BWPersonalInfo>
    <TaxCatchAll xmlns="3595a3b4-95e1-40b3-9976-0da52ff3c1d6">
      <Value>104</Value>
    </TaxCatchAll>
    <_dlc_DocId xmlns="3595a3b4-95e1-40b3-9976-0da52ff3c1d6">73WM5REP3J34-1848047781-3984</_dlc_DocId>
    <_dlc_DocIdUrl xmlns="3595a3b4-95e1-40b3-9976-0da52ff3c1d6">
      <Url>http://thehub/teams/externalrelations/Communications/_layouts/15/DocIdRedir.aspx?ID=73WM5REP3J34-1848047781-3984</Url>
      <Description>73WM5REP3J34-1848047781-3984</Description>
    </_dlc_DocIdUrl>
  </documentManagement>
</p:properties>
</file>

<file path=customXml/itemProps1.xml><?xml version="1.0" encoding="utf-8"?>
<ds:datastoreItem xmlns:ds="http://schemas.openxmlformats.org/officeDocument/2006/customXml" ds:itemID="{2E56F3A5-F05D-46DF-91BC-BCD798794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7C6088-630E-4E6B-B330-C31D61F54B1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6F25B0F-7DE1-4F03-9687-19658175BBC5}"/>
</file>

<file path=customXml/itemProps4.xml><?xml version="1.0" encoding="utf-8"?>
<ds:datastoreItem xmlns:ds="http://schemas.openxmlformats.org/officeDocument/2006/customXml" ds:itemID="{1D7287DC-8AD2-4721-94EE-7468194856C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595a3b4-95e1-40b3-9976-0da52ff3c1d6"/>
    <ds:schemaRef ds:uri="c580686b-3c78-40fc-8280-257271cf61a5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Nicol</dc:creator>
  <cp:keywords/>
  <dc:description/>
  <cp:lastModifiedBy>Lucy Durie</cp:lastModifiedBy>
  <cp:revision>3</cp:revision>
  <dcterms:created xsi:type="dcterms:W3CDTF">2020-10-14T15:59:00Z</dcterms:created>
  <dcterms:modified xsi:type="dcterms:W3CDTF">2020-10-15T13:38:00Z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0x010100F6C9EF00BFCE744FB82DB39B849666BF0F0071FADE12B580074EB17A74D1705D372B</vt:lpwstr>
  </property>
  <property fmtid="{D5CDD505-2E9C-101B-9397-08002B2CF9AE}" pid="3" name="Committee">
    <vt:lpwstr/>
  </property>
  <property fmtid="{D5CDD505-2E9C-101B-9397-08002B2CF9AE}" pid="4" name="Directorate">
    <vt:lpwstr>104;#Professional Practice|393b427a-5634-470e-91da-4ab7fd41378d</vt:lpwstr>
  </property>
  <property fmtid="{D5CDD505-2E9C-101B-9397-08002B2CF9AE}" pid="5" name="_dlc_DocIdItemGuid">
    <vt:lpwstr>cf18933c-827f-44cc-8e0a-35514babfe19</vt:lpwstr>
  </property>
</Properties>
</file>