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1553" w14:textId="14C31874" w:rsidR="00501C06" w:rsidRDefault="009D4000" w:rsidP="009D4000">
      <w:pPr>
        <w:ind w:left="720"/>
        <w:jc w:val="center"/>
        <w:rPr>
          <w:rFonts w:ascii="Arial" w:hAnsi="Arial" w:cs="Arial"/>
          <w:b/>
          <w:bCs/>
          <w:color w:val="000000"/>
          <w:sz w:val="28"/>
          <w:szCs w:val="28"/>
          <w:u w:val="single"/>
        </w:rPr>
      </w:pPr>
      <w:r w:rsidRPr="009D4000">
        <w:rPr>
          <w:rFonts w:ascii="Arial" w:hAnsi="Arial" w:cs="Arial"/>
          <w:b/>
          <w:bCs/>
          <w:color w:val="000000"/>
          <w:sz w:val="28"/>
          <w:szCs w:val="28"/>
          <w:u w:val="single"/>
        </w:rPr>
        <w:t>LSAG Breach Reporting note</w:t>
      </w:r>
    </w:p>
    <w:p w14:paraId="1B8DC6F3" w14:textId="77777777" w:rsidR="009D4000" w:rsidRPr="009D4000" w:rsidRDefault="009D4000" w:rsidP="009D4000">
      <w:pPr>
        <w:ind w:left="720"/>
        <w:jc w:val="center"/>
        <w:rPr>
          <w:rFonts w:ascii="Arial" w:hAnsi="Arial" w:cs="Arial"/>
          <w:b/>
          <w:bCs/>
          <w:color w:val="000000"/>
          <w:sz w:val="28"/>
          <w:szCs w:val="28"/>
          <w:u w:val="single"/>
        </w:rPr>
      </w:pPr>
    </w:p>
    <w:p w14:paraId="1385D6C4" w14:textId="77777777" w:rsidR="00501C06" w:rsidRDefault="00501C06" w:rsidP="00501C06">
      <w:pPr>
        <w:ind w:left="720"/>
        <w:rPr>
          <w:rFonts w:ascii="Arial" w:hAnsi="Arial" w:cs="Arial"/>
          <w:b/>
          <w:bCs/>
          <w:color w:val="000000"/>
          <w:u w:val="single"/>
        </w:rPr>
      </w:pPr>
    </w:p>
    <w:p w14:paraId="0275C495" w14:textId="0F380FD8" w:rsidR="00115E3B" w:rsidRDefault="00115E3B" w:rsidP="00501C06">
      <w:pPr>
        <w:ind w:left="720"/>
        <w:rPr>
          <w:rFonts w:ascii="Arial" w:hAnsi="Arial" w:cs="Arial"/>
        </w:rPr>
      </w:pPr>
      <w:r w:rsidRPr="009D4000">
        <w:rPr>
          <w:rFonts w:ascii="Arial" w:hAnsi="Arial" w:cs="Arial"/>
          <w:b/>
          <w:bCs/>
        </w:rPr>
        <w:t>Purpose of this note:</w:t>
      </w:r>
      <w:r w:rsidR="009D4000">
        <w:rPr>
          <w:rFonts w:ascii="Arial" w:hAnsi="Arial" w:cs="Arial"/>
        </w:rPr>
        <w:t xml:space="preserve"> </w:t>
      </w:r>
      <w:r w:rsidR="009D4000">
        <w:rPr>
          <w:rFonts w:ascii="Arial" w:hAnsi="Arial" w:cs="Arial"/>
        </w:rPr>
        <w:br/>
      </w:r>
      <w:r w:rsidR="009D4000">
        <w:rPr>
          <w:rFonts w:ascii="Arial" w:hAnsi="Arial" w:cs="Arial"/>
        </w:rPr>
        <w:br/>
        <w:t>T</w:t>
      </w:r>
      <w:r>
        <w:rPr>
          <w:rFonts w:ascii="Arial" w:hAnsi="Arial" w:cs="Arial"/>
        </w:rPr>
        <w:t xml:space="preserve">his is intended to make you aware of the requirement to report breaches under the Money Laundering, Terrorist Financing and Transfer of Funds (Information on the Payer) Regulations 2017 (as amended) (“the regulations”) and sets out the circumstances in which breaches must be reported.  </w:t>
      </w:r>
    </w:p>
    <w:p w14:paraId="4340FB72" w14:textId="77777777" w:rsidR="00115E3B" w:rsidRDefault="00115E3B" w:rsidP="00501C06">
      <w:pPr>
        <w:ind w:left="720"/>
        <w:rPr>
          <w:rFonts w:ascii="Arial" w:hAnsi="Arial" w:cs="Arial"/>
        </w:rPr>
      </w:pPr>
    </w:p>
    <w:p w14:paraId="03B5E5D4" w14:textId="7A86E14E" w:rsidR="00501C06" w:rsidRDefault="00501C06" w:rsidP="00501C06">
      <w:pPr>
        <w:ind w:left="720"/>
        <w:rPr>
          <w:rFonts w:ascii="Arial" w:hAnsi="Arial" w:cs="Arial"/>
        </w:rPr>
      </w:pPr>
      <w:r>
        <w:rPr>
          <w:rFonts w:ascii="Arial" w:hAnsi="Arial" w:cs="Arial"/>
        </w:rPr>
        <w:t xml:space="preserve">Schedule 4 (12) of the </w:t>
      </w:r>
      <w:r w:rsidR="00115E3B">
        <w:rPr>
          <w:rFonts w:ascii="Arial" w:hAnsi="Arial" w:cs="Arial"/>
        </w:rPr>
        <w:t xml:space="preserve">regulations </w:t>
      </w:r>
      <w:r>
        <w:rPr>
          <w:rFonts w:ascii="Arial" w:hAnsi="Arial" w:cs="Arial"/>
        </w:rPr>
        <w:t xml:space="preserve">state that supervisors must collect information regarding </w:t>
      </w:r>
      <w:r>
        <w:rPr>
          <w:rFonts w:ascii="Arial" w:hAnsi="Arial" w:cs="Arial"/>
          <w:i/>
          <w:iCs/>
        </w:rPr>
        <w:t xml:space="preserve">“the number of contraventions of these Regulations committed by supervised persons”. </w:t>
      </w:r>
    </w:p>
    <w:p w14:paraId="743EABD0" w14:textId="77777777" w:rsidR="00501C06" w:rsidRDefault="00501C06" w:rsidP="00501C06">
      <w:pPr>
        <w:ind w:left="720"/>
        <w:rPr>
          <w:rFonts w:ascii="Arial" w:hAnsi="Arial" w:cs="Arial"/>
          <w:color w:val="000000"/>
        </w:rPr>
      </w:pPr>
    </w:p>
    <w:p w14:paraId="23523470" w14:textId="55BEA143" w:rsidR="00501C06" w:rsidRDefault="00501C06" w:rsidP="00501C06">
      <w:pPr>
        <w:ind w:left="720"/>
        <w:rPr>
          <w:rFonts w:ascii="Arial" w:hAnsi="Arial" w:cs="Arial"/>
          <w:color w:val="FF0000"/>
        </w:rPr>
      </w:pPr>
      <w:r>
        <w:rPr>
          <w:rFonts w:ascii="Arial" w:hAnsi="Arial" w:cs="Arial"/>
          <w:color w:val="000000"/>
        </w:rPr>
        <w:t>Legal sector AML supervisors collect this information for the purposes of reviewing and assessing breaches of the regulations building up an intelligence picture to enhance our risk-based approach to supervision.</w:t>
      </w:r>
    </w:p>
    <w:p w14:paraId="23B2797E" w14:textId="77777777" w:rsidR="00501C06" w:rsidRDefault="00501C06" w:rsidP="00501C06">
      <w:pPr>
        <w:ind w:left="720"/>
        <w:rPr>
          <w:rFonts w:ascii="Arial" w:hAnsi="Arial" w:cs="Arial"/>
        </w:rPr>
      </w:pPr>
      <w:r>
        <w:rPr>
          <w:rFonts w:ascii="Arial" w:hAnsi="Arial" w:cs="Arial"/>
        </w:rPr>
        <w:t> </w:t>
      </w:r>
    </w:p>
    <w:p w14:paraId="10EB9139" w14:textId="77777777" w:rsidR="00501C06" w:rsidRDefault="00501C06" w:rsidP="00501C06">
      <w:pPr>
        <w:ind w:left="720"/>
        <w:rPr>
          <w:rFonts w:ascii="Arial" w:hAnsi="Arial" w:cs="Arial"/>
        </w:rPr>
      </w:pPr>
      <w:r>
        <w:rPr>
          <w:rFonts w:ascii="Arial" w:hAnsi="Arial" w:cs="Arial"/>
        </w:rPr>
        <w:t>Legal practices</w:t>
      </w:r>
      <w:r>
        <w:rPr>
          <w:rFonts w:ascii="Arial" w:hAnsi="Arial" w:cs="Arial"/>
          <w:i/>
          <w:iCs/>
        </w:rPr>
        <w:t xml:space="preserve"> </w:t>
      </w:r>
      <w:r>
        <w:rPr>
          <w:rFonts w:ascii="Arial" w:hAnsi="Arial" w:cs="Arial"/>
        </w:rPr>
        <w:t xml:space="preserve">within scope of the regulations must therefore report such contraventions (or “breaches”) to their supervisor. The regulations do not however set out a </w:t>
      </w:r>
      <w:r>
        <w:rPr>
          <w:rFonts w:ascii="Arial" w:hAnsi="Arial" w:cs="Arial"/>
          <w:i/>
          <w:iCs/>
        </w:rPr>
        <w:t>de-</w:t>
      </w:r>
      <w:proofErr w:type="spellStart"/>
      <w:r>
        <w:rPr>
          <w:rFonts w:ascii="Arial" w:hAnsi="Arial" w:cs="Arial"/>
          <w:i/>
          <w:iCs/>
        </w:rPr>
        <w:t>minimus</w:t>
      </w:r>
      <w:proofErr w:type="spellEnd"/>
      <w:r>
        <w:rPr>
          <w:rFonts w:ascii="Arial" w:hAnsi="Arial" w:cs="Arial"/>
          <w:i/>
          <w:iCs/>
        </w:rPr>
        <w:t xml:space="preserve"> </w:t>
      </w:r>
      <w:r>
        <w:rPr>
          <w:rFonts w:ascii="Arial" w:hAnsi="Arial" w:cs="Arial"/>
        </w:rPr>
        <w:t>limit in terms of the types of breaches to be reported. We wish to receive information that is useful to us, either for building up an intelligence picture or because it may be a serious breach that we need to assess, and potentially investigate. We recognise the need to balance these requirements with the possible burden that reporting places on the regulated population. In line with a risk-based approach, this note will help you decide what information should report.</w:t>
      </w:r>
    </w:p>
    <w:p w14:paraId="382EDEE5" w14:textId="77777777" w:rsidR="00501C06" w:rsidRDefault="00501C06" w:rsidP="00501C06">
      <w:pPr>
        <w:ind w:left="720"/>
        <w:rPr>
          <w:rFonts w:ascii="Arial" w:hAnsi="Arial" w:cs="Arial"/>
        </w:rPr>
      </w:pPr>
      <w:r>
        <w:rPr>
          <w:rFonts w:ascii="Arial" w:hAnsi="Arial" w:cs="Arial"/>
        </w:rPr>
        <w:t> </w:t>
      </w:r>
    </w:p>
    <w:p w14:paraId="7929D0F4" w14:textId="799031D4" w:rsidR="00501C06" w:rsidRDefault="00501C06" w:rsidP="00501C06">
      <w:pPr>
        <w:ind w:left="720"/>
        <w:rPr>
          <w:rFonts w:ascii="Arial" w:hAnsi="Arial" w:cs="Arial"/>
          <w:b/>
          <w:bCs/>
        </w:rPr>
      </w:pPr>
      <w:r>
        <w:rPr>
          <w:rFonts w:ascii="Arial" w:hAnsi="Arial" w:cs="Arial"/>
          <w:b/>
          <w:bCs/>
        </w:rPr>
        <w:t xml:space="preserve">You must report breaches of the regulations to your AML Supervisor, where you have not complied with the requirements of the regulations </w:t>
      </w:r>
      <w:r>
        <w:rPr>
          <w:rFonts w:ascii="Arial" w:hAnsi="Arial" w:cs="Arial"/>
          <w:b/>
          <w:bCs/>
          <w:u w:val="single"/>
        </w:rPr>
        <w:t>and</w:t>
      </w:r>
      <w:r>
        <w:rPr>
          <w:rFonts w:ascii="Arial" w:hAnsi="Arial" w:cs="Arial"/>
          <w:b/>
          <w:bCs/>
        </w:rPr>
        <w:t xml:space="preserve"> where the result of a breach has been serious.</w:t>
      </w:r>
    </w:p>
    <w:p w14:paraId="544211B5" w14:textId="77777777" w:rsidR="00501C06" w:rsidRDefault="00501C06" w:rsidP="00501C06">
      <w:pPr>
        <w:ind w:left="720"/>
        <w:rPr>
          <w:rFonts w:ascii="Arial" w:hAnsi="Arial" w:cs="Arial"/>
        </w:rPr>
      </w:pPr>
      <w:r>
        <w:rPr>
          <w:rFonts w:ascii="Arial" w:hAnsi="Arial" w:cs="Arial"/>
        </w:rPr>
        <w:t> </w:t>
      </w:r>
    </w:p>
    <w:p w14:paraId="05AE2A58" w14:textId="77777777" w:rsidR="00501C06" w:rsidRDefault="00501C06" w:rsidP="00501C06">
      <w:pPr>
        <w:ind w:left="720"/>
        <w:rPr>
          <w:rFonts w:ascii="Arial" w:hAnsi="Arial" w:cs="Arial"/>
        </w:rPr>
      </w:pPr>
      <w:r>
        <w:rPr>
          <w:rFonts w:ascii="Arial" w:hAnsi="Arial" w:cs="Arial"/>
          <w:u w:val="single"/>
        </w:rPr>
        <w:t>Non-exhaustive</w:t>
      </w:r>
      <w:r>
        <w:rPr>
          <w:rFonts w:ascii="Arial" w:hAnsi="Arial" w:cs="Arial"/>
        </w:rPr>
        <w:t xml:space="preserve"> examples of serious breaches include: </w:t>
      </w:r>
    </w:p>
    <w:p w14:paraId="059B206E" w14:textId="77777777" w:rsidR="00501C06" w:rsidRDefault="00501C06" w:rsidP="00501C06">
      <w:pPr>
        <w:ind w:left="720"/>
        <w:rPr>
          <w:rFonts w:ascii="Arial" w:hAnsi="Arial" w:cs="Arial"/>
        </w:rPr>
      </w:pPr>
      <w:r>
        <w:rPr>
          <w:rFonts w:ascii="Arial" w:hAnsi="Arial" w:cs="Arial"/>
        </w:rPr>
        <w:t> </w:t>
      </w:r>
    </w:p>
    <w:p w14:paraId="2B37C0C1" w14:textId="77777777" w:rsidR="00501C06" w:rsidRDefault="00501C06" w:rsidP="00501C06">
      <w:pPr>
        <w:pStyle w:val="ListParagraph"/>
        <w:numPr>
          <w:ilvl w:val="0"/>
          <w:numId w:val="1"/>
        </w:numPr>
        <w:rPr>
          <w:rFonts w:ascii="Arial" w:eastAsia="Times New Roman" w:hAnsi="Arial" w:cs="Arial"/>
        </w:rPr>
      </w:pPr>
      <w:r>
        <w:rPr>
          <w:rFonts w:ascii="Arial" w:eastAsia="Times New Roman" w:hAnsi="Arial" w:cs="Arial"/>
        </w:rPr>
        <w:t xml:space="preserve">Intentional or wilfully negligent breaches of legal requirements in relation to applicable anti-money laundering legislation or regulation </w:t>
      </w:r>
    </w:p>
    <w:p w14:paraId="14EA66B6" w14:textId="77777777" w:rsidR="00501C06" w:rsidRDefault="00501C06" w:rsidP="00501C06">
      <w:pPr>
        <w:pStyle w:val="ListParagraph"/>
        <w:numPr>
          <w:ilvl w:val="0"/>
          <w:numId w:val="1"/>
        </w:numPr>
        <w:rPr>
          <w:rFonts w:ascii="Arial" w:eastAsia="Times New Roman" w:hAnsi="Arial" w:cs="Arial"/>
        </w:rPr>
      </w:pPr>
      <w:r>
        <w:rPr>
          <w:rFonts w:ascii="Arial" w:eastAsia="Times New Roman" w:hAnsi="Arial" w:cs="Arial"/>
        </w:rPr>
        <w:t xml:space="preserve">Repeated unintentional or repeated accidental breaches of legal requirements in relation to applicable anti-money laundering legislation or regulation </w:t>
      </w:r>
    </w:p>
    <w:p w14:paraId="7F73093D" w14:textId="77777777" w:rsidR="00501C06" w:rsidRDefault="00501C06" w:rsidP="00501C06">
      <w:pPr>
        <w:pStyle w:val="ListParagraph"/>
        <w:numPr>
          <w:ilvl w:val="0"/>
          <w:numId w:val="1"/>
        </w:numPr>
        <w:rPr>
          <w:rFonts w:ascii="Arial" w:eastAsia="Times New Roman" w:hAnsi="Arial" w:cs="Arial"/>
        </w:rPr>
      </w:pPr>
      <w:r>
        <w:rPr>
          <w:rFonts w:ascii="Arial" w:eastAsia="Times New Roman" w:hAnsi="Arial" w:cs="Arial"/>
        </w:rPr>
        <w:t xml:space="preserve">Systemic breaches associated with a failure of AML-related policies, </w:t>
      </w:r>
      <w:proofErr w:type="gramStart"/>
      <w:r>
        <w:rPr>
          <w:rFonts w:ascii="Arial" w:eastAsia="Times New Roman" w:hAnsi="Arial" w:cs="Arial"/>
        </w:rPr>
        <w:t>controls</w:t>
      </w:r>
      <w:proofErr w:type="gramEnd"/>
      <w:r>
        <w:rPr>
          <w:rFonts w:ascii="Arial" w:eastAsia="Times New Roman" w:hAnsi="Arial" w:cs="Arial"/>
        </w:rPr>
        <w:t xml:space="preserve"> or procedures  </w:t>
      </w:r>
    </w:p>
    <w:p w14:paraId="7B36610B" w14:textId="77777777" w:rsidR="00501C06" w:rsidRDefault="00501C06" w:rsidP="00501C06">
      <w:pPr>
        <w:pStyle w:val="ListParagraph"/>
        <w:numPr>
          <w:ilvl w:val="0"/>
          <w:numId w:val="1"/>
        </w:numPr>
        <w:rPr>
          <w:rFonts w:ascii="Arial" w:eastAsia="Times New Roman" w:hAnsi="Arial" w:cs="Arial"/>
          <w:i/>
          <w:iCs/>
        </w:rPr>
      </w:pPr>
      <w:r>
        <w:rPr>
          <w:rFonts w:ascii="Arial" w:eastAsia="Times New Roman" w:hAnsi="Arial" w:cs="Arial"/>
        </w:rPr>
        <w:t xml:space="preserve">The facilitation of business activities which bear the hallmarks of money laundering activity </w:t>
      </w:r>
      <w:r>
        <w:rPr>
          <w:rFonts w:ascii="Arial" w:eastAsia="Times New Roman" w:hAnsi="Arial" w:cs="Arial"/>
          <w:i/>
          <w:iCs/>
        </w:rPr>
        <w:t xml:space="preserve">(this does not replace the legal requirement to file a SAR where appropriate) </w:t>
      </w:r>
    </w:p>
    <w:p w14:paraId="7035D4CF" w14:textId="77777777" w:rsidR="00501C06" w:rsidRDefault="00501C06" w:rsidP="00501C06">
      <w:pPr>
        <w:ind w:left="720"/>
        <w:rPr>
          <w:rFonts w:ascii="Arial" w:hAnsi="Arial" w:cs="Arial"/>
        </w:rPr>
      </w:pPr>
      <w:r>
        <w:rPr>
          <w:rFonts w:ascii="Arial" w:hAnsi="Arial" w:cs="Arial"/>
        </w:rPr>
        <w:t> </w:t>
      </w:r>
    </w:p>
    <w:p w14:paraId="5C32061A" w14:textId="6D2DDFBE" w:rsidR="00501C06" w:rsidRDefault="00501C06" w:rsidP="00501C06">
      <w:pPr>
        <w:ind w:left="720"/>
        <w:rPr>
          <w:rFonts w:ascii="Arial" w:hAnsi="Arial" w:cs="Arial"/>
        </w:rPr>
      </w:pPr>
      <w:r>
        <w:rPr>
          <w:rFonts w:ascii="Arial" w:hAnsi="Arial" w:cs="Arial"/>
        </w:rPr>
        <w:t xml:space="preserve">You must also report breaches of related legislation for which AML supervisors don’t have a direct regulatory </w:t>
      </w:r>
      <w:proofErr w:type="gramStart"/>
      <w:r>
        <w:rPr>
          <w:rFonts w:ascii="Arial" w:hAnsi="Arial" w:cs="Arial"/>
        </w:rPr>
        <w:t>responsibility, but</w:t>
      </w:r>
      <w:proofErr w:type="gramEnd"/>
      <w:r>
        <w:rPr>
          <w:rFonts w:ascii="Arial" w:hAnsi="Arial" w:cs="Arial"/>
        </w:rPr>
        <w:t xml:space="preserve"> is still relevant to your ability to prevent financial crime (for example breaches of Financial Sanctions legislation).</w:t>
      </w:r>
    </w:p>
    <w:p w14:paraId="06210BDC" w14:textId="77777777" w:rsidR="00501C06" w:rsidRDefault="00501C06" w:rsidP="00501C06">
      <w:pPr>
        <w:ind w:left="720"/>
        <w:rPr>
          <w:rFonts w:ascii="Arial" w:hAnsi="Arial" w:cs="Arial"/>
        </w:rPr>
      </w:pPr>
    </w:p>
    <w:p w14:paraId="3CD0A66D" w14:textId="77777777" w:rsidR="00501C06" w:rsidRDefault="00501C06" w:rsidP="00501C06">
      <w:pPr>
        <w:ind w:left="720"/>
        <w:rPr>
          <w:rFonts w:ascii="Arial" w:hAnsi="Arial" w:cs="Arial"/>
        </w:rPr>
      </w:pPr>
      <w:r>
        <w:rPr>
          <w:rFonts w:ascii="Arial" w:hAnsi="Arial" w:cs="Arial"/>
        </w:rPr>
        <w:t xml:space="preserve">You do not need to report one-off or non-systematic breaches of the regulations which are limited in scope and impact. </w:t>
      </w:r>
    </w:p>
    <w:p w14:paraId="2B8D8395" w14:textId="77777777" w:rsidR="00501C06" w:rsidRDefault="00501C06" w:rsidP="00501C06">
      <w:pPr>
        <w:ind w:left="720"/>
        <w:rPr>
          <w:rFonts w:ascii="Arial" w:hAnsi="Arial" w:cs="Arial"/>
        </w:rPr>
      </w:pPr>
      <w:r>
        <w:rPr>
          <w:rFonts w:ascii="Arial" w:hAnsi="Arial" w:cs="Arial"/>
        </w:rPr>
        <w:t> </w:t>
      </w:r>
    </w:p>
    <w:p w14:paraId="6EFDB8C1" w14:textId="4C0A14A3" w:rsidR="00501C06" w:rsidRDefault="00501C06" w:rsidP="00501C06">
      <w:pPr>
        <w:ind w:left="720"/>
        <w:rPr>
          <w:rFonts w:ascii="Arial" w:hAnsi="Arial" w:cs="Arial"/>
        </w:rPr>
      </w:pPr>
      <w:r>
        <w:rPr>
          <w:rFonts w:ascii="Arial" w:hAnsi="Arial" w:cs="Arial"/>
        </w:rPr>
        <w:t>You should contact your individual AML supervisor for details on how to report breaches and are advised to document your rationale for reporting decisions made.</w:t>
      </w:r>
    </w:p>
    <w:p w14:paraId="16A5A4D9" w14:textId="77777777" w:rsidR="00501C06" w:rsidRDefault="00501C06" w:rsidP="00501C06">
      <w:pPr>
        <w:ind w:left="720"/>
        <w:rPr>
          <w:rFonts w:ascii="Arial" w:hAnsi="Arial" w:cs="Arial"/>
        </w:rPr>
      </w:pPr>
      <w:r>
        <w:rPr>
          <w:rFonts w:ascii="Arial" w:hAnsi="Arial" w:cs="Arial"/>
        </w:rPr>
        <w:t> </w:t>
      </w:r>
    </w:p>
    <w:p w14:paraId="6BB1DF7D" w14:textId="436F27F5" w:rsidR="00501C06" w:rsidRDefault="00501C06" w:rsidP="00501C06">
      <w:pPr>
        <w:ind w:left="720"/>
        <w:rPr>
          <w:rFonts w:ascii="Arial" w:hAnsi="Arial" w:cs="Arial"/>
        </w:rPr>
      </w:pPr>
      <w:r>
        <w:rPr>
          <w:rFonts w:ascii="Arial" w:hAnsi="Arial" w:cs="Arial"/>
        </w:rPr>
        <w:lastRenderedPageBreak/>
        <w:t xml:space="preserve">Responsibility for the management of AML risk and ensuring regulatory compliance at all times remains with the supervised entity, including the duty to report such breaches as indicated above. </w:t>
      </w:r>
      <w:r w:rsidR="00115E3B">
        <w:rPr>
          <w:rFonts w:ascii="Arial" w:hAnsi="Arial" w:cs="Arial"/>
        </w:rPr>
        <w:t xml:space="preserve">If you are unsure over whether to report a </w:t>
      </w:r>
      <w:proofErr w:type="gramStart"/>
      <w:r w:rsidR="00115E3B">
        <w:rPr>
          <w:rFonts w:ascii="Arial" w:hAnsi="Arial" w:cs="Arial"/>
        </w:rPr>
        <w:t>breach</w:t>
      </w:r>
      <w:proofErr w:type="gramEnd"/>
      <w:r w:rsidR="00115E3B">
        <w:rPr>
          <w:rFonts w:ascii="Arial" w:hAnsi="Arial" w:cs="Arial"/>
        </w:rPr>
        <w:t xml:space="preserve"> contact your supervisor to discuss. </w:t>
      </w:r>
    </w:p>
    <w:p w14:paraId="4E276DB6" w14:textId="77777777" w:rsidR="007F0B5D" w:rsidRDefault="007F0B5D"/>
    <w:sectPr w:rsidR="007F0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04EE"/>
    <w:multiLevelType w:val="hybridMultilevel"/>
    <w:tmpl w:val="AF26BB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6"/>
    <w:rsid w:val="00115E3B"/>
    <w:rsid w:val="00501C06"/>
    <w:rsid w:val="007F0B5D"/>
    <w:rsid w:val="009D4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7456"/>
  <w15:chartTrackingRefBased/>
  <w15:docId w15:val="{8F096F44-74E1-4EF0-BB22-F4512660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C0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95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F6C9EF00BFCE744FB82DB39B849666BF0F0012315D9C2A0BE24695CB02DF8DFD0E6D" ma:contentTypeVersion="21" ma:contentTypeDescription="" ma:contentTypeScope="" ma:versionID="1f7bf24e0742a86bb24f2278ab193c6f">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e85ce27d8497c4e89909537f93f3260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134;#Complaints|3b0c2731-fc73-408b-9be7-c2ce326e063e"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Financial Compliance</TermName>
          <TermId xmlns="http://schemas.microsoft.com/office/infopath/2007/PartnerControls">c69b4af8-4a9b-48da-8f3e-65ef90b81167</TermId>
        </TermInfo>
      </Terms>
    </m73f487bf6df40bd884c3d6035f2f3bf>
    <BWMembersRecord xmlns="3595a3b4-95e1-40b3-9976-0da52ff3c1d6">No</BWMembersRecord>
    <DocumentType xmlns="3595a3b4-95e1-40b3-9976-0da52ff3c1d6">Inspection</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136</Value>
    </TaxCatchAll>
    <_dlc_DocId xmlns="3595a3b4-95e1-40b3-9976-0da52ff3c1d6">73WM5REP3J34-257884945-25221</_dlc_DocId>
    <_dlc_DocIdUrl xmlns="3595a3b4-95e1-40b3-9976-0da52ff3c1d6">
      <Url>http://thehub/teams/Regulation/financial-compliance/_layouts/15/DocIdRedir.aspx?ID=73WM5REP3J34-257884945-25221</Url>
      <Description>73WM5REP3J34-257884945-25221</Description>
    </_dlc_DocIdUrl>
  </documentManagement>
</p:properties>
</file>

<file path=customXml/itemProps1.xml><?xml version="1.0" encoding="utf-8"?>
<ds:datastoreItem xmlns:ds="http://schemas.openxmlformats.org/officeDocument/2006/customXml" ds:itemID="{DD50A1E2-361C-4A87-8B7C-4715BB1D0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1B450-A6AD-4257-843F-9461EE4DA624}">
  <ds:schemaRefs>
    <ds:schemaRef ds:uri="http://schemas.microsoft.com/sharepoint/events"/>
  </ds:schemaRefs>
</ds:datastoreItem>
</file>

<file path=customXml/itemProps3.xml><?xml version="1.0" encoding="utf-8"?>
<ds:datastoreItem xmlns:ds="http://schemas.openxmlformats.org/officeDocument/2006/customXml" ds:itemID="{4DAFDE64-1675-4C51-AD56-1CAC27DAFB83}">
  <ds:schemaRefs>
    <ds:schemaRef ds:uri="http://schemas.microsoft.com/sharepoint/v3/contenttype/forms"/>
  </ds:schemaRefs>
</ds:datastoreItem>
</file>

<file path=customXml/itemProps4.xml><?xml version="1.0" encoding="utf-8"?>
<ds:datastoreItem xmlns:ds="http://schemas.openxmlformats.org/officeDocument/2006/customXml" ds:itemID="{AA2C8980-254B-4F35-9F06-0F3C05919CC6}">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580686b-3c78-40fc-8280-257271cf61a5"/>
    <ds:schemaRef ds:uri="http://purl.org/dc/elements/1.1/"/>
    <ds:schemaRef ds:uri="http://schemas.microsoft.com/office/2006/metadata/properties"/>
    <ds:schemaRef ds:uri="3595a3b4-95e1-40b3-9976-0da52ff3c1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4</DocSecurity>
  <Lines>21</Lines>
  <Paragraphs>6</Paragraphs>
  <ScaleCrop>false</ScaleCrop>
  <Company>Solicitors Regulation Authority</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Best</dc:creator>
  <cp:keywords/>
  <dc:description/>
  <cp:lastModifiedBy>Bob Clark</cp:lastModifiedBy>
  <cp:revision>2</cp:revision>
  <dcterms:created xsi:type="dcterms:W3CDTF">2022-03-11T16:53:00Z</dcterms:created>
  <dcterms:modified xsi:type="dcterms:W3CDTF">2022-03-11T16:53:00Z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0x010100F6C9EF00BFCE744FB82DB39B849666BF0F0012315D9C2A0BE24695CB02DF8DFD0E6D</vt:lpwstr>
  </property>
  <property fmtid="{D5CDD505-2E9C-101B-9397-08002B2CF9AE}" pid="3" name="Committee">
    <vt:lpwstr/>
  </property>
  <property fmtid="{D5CDD505-2E9C-101B-9397-08002B2CF9AE}" pid="4" name="Directorate">
    <vt:lpwstr>136;#Financial Compliance|c69b4af8-4a9b-48da-8f3e-65ef90b81167</vt:lpwstr>
  </property>
  <property fmtid="{D5CDD505-2E9C-101B-9397-08002B2CF9AE}" pid="5" name="_dlc_DocIdItemGuid">
    <vt:lpwstr>1472125f-d844-40d9-8947-29282ebd6510</vt:lpwstr>
  </property>
</Properties>
</file>