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B5C40" w14:textId="77777777" w:rsidR="005A49C1" w:rsidRDefault="005A49C1" w:rsidP="005A49C1">
      <w:pPr>
        <w:rPr>
          <w:b/>
          <w:bCs/>
        </w:rPr>
      </w:pPr>
      <w:bookmarkStart w:id="0" w:name="_GoBack"/>
      <w:bookmarkEnd w:id="0"/>
      <w:r>
        <w:rPr>
          <w:noProof/>
          <w:lang w:eastAsia="en-GB"/>
        </w:rPr>
        <w:drawing>
          <wp:anchor distT="0" distB="0" distL="114300" distR="114300" simplePos="0" relativeHeight="251659264" behindDoc="1" locked="0" layoutInCell="1" allowOverlap="1" wp14:anchorId="695530AA" wp14:editId="0438CA1F">
            <wp:simplePos x="0" y="0"/>
            <wp:positionH relativeFrom="column">
              <wp:posOffset>0</wp:posOffset>
            </wp:positionH>
            <wp:positionV relativeFrom="paragraph">
              <wp:posOffset>285750</wp:posOffset>
            </wp:positionV>
            <wp:extent cx="1971675" cy="762000"/>
            <wp:effectExtent l="0" t="0" r="9525" b="0"/>
            <wp:wrapTight wrapText="bothSides">
              <wp:wrapPolygon edited="0">
                <wp:start x="0" y="0"/>
                <wp:lineTo x="0" y="21060"/>
                <wp:lineTo x="21496" y="21060"/>
                <wp:lineTo x="21496" y="0"/>
                <wp:lineTo x="0" y="0"/>
              </wp:wrapPolygon>
            </wp:wrapTight>
            <wp:docPr id="1" name="Picture 1" descr="W:\Media\Brand\Logos\Main logo variations\LSS logo black outline\LSS_jpeg_med_Black Outline_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edia\Brand\Logos\Main logo variations\LSS logo black outline\LSS_jpeg_med_Black Outline_RGB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86" t="20582" r="4627" b="22640"/>
                    <a:stretch/>
                  </pic:blipFill>
                  <pic:spPr bwMode="auto">
                    <a:xfrm>
                      <a:off x="0" y="0"/>
                      <a:ext cx="197167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 </w:t>
      </w:r>
    </w:p>
    <w:p w14:paraId="02BEB5E8" w14:textId="77777777" w:rsidR="005A49C1" w:rsidRDefault="005A49C1" w:rsidP="005A49C1">
      <w:pPr>
        <w:rPr>
          <w:b/>
          <w:bCs/>
        </w:rPr>
      </w:pPr>
    </w:p>
    <w:p w14:paraId="0629756F" w14:textId="5029C3CF" w:rsidR="00F33194" w:rsidRDefault="00F33194"/>
    <w:p w14:paraId="6D49B97C" w14:textId="405DA95B" w:rsidR="005A49C1" w:rsidRDefault="005A49C1"/>
    <w:p w14:paraId="68E6A5D5" w14:textId="7501B3F5" w:rsidR="005A49C1" w:rsidRDefault="005A49C1">
      <w:pPr>
        <w:rPr>
          <w:b/>
          <w:bCs/>
        </w:rPr>
      </w:pPr>
      <w:r w:rsidRPr="005A49C1">
        <w:rPr>
          <w:b/>
          <w:bCs/>
        </w:rPr>
        <w:t>Ethnicity of law students</w:t>
      </w:r>
    </w:p>
    <w:p w14:paraId="45E36945" w14:textId="25D2DB95" w:rsidR="00C646EF" w:rsidRDefault="005A49C1">
      <w:r>
        <w:t>One of the recommendations of the recent Racial Inclusion Group report was to publish information on the ethnicity breakdown of the LLB and DPLP</w:t>
      </w:r>
      <w:r w:rsidR="00902CB6">
        <w:t xml:space="preserve"> to help allow the profession to better understand</w:t>
      </w:r>
      <w:r w:rsidR="00D20B9F">
        <w:t xml:space="preserve"> the next generation of solicitors and be able to see if they attract people from all backgrounds proportionately to their organisations.</w:t>
      </w:r>
    </w:p>
    <w:p w14:paraId="496424A0" w14:textId="3E430B2D" w:rsidR="00C646EF" w:rsidRDefault="00C646EF">
      <w:r>
        <w:t>The information below and that considered by the Racial Inclusion Group is based on raw data which has been submitted by individual providers of the LLB and DPLP in relation to their accredited programmes. There are</w:t>
      </w:r>
      <w:r w:rsidR="00D20B9F">
        <w:t xml:space="preserve"> some</w:t>
      </w:r>
      <w:r>
        <w:t xml:space="preserve"> </w:t>
      </w:r>
      <w:r w:rsidR="006B456C">
        <w:t xml:space="preserve">instances </w:t>
      </w:r>
      <w:r>
        <w:t xml:space="preserve">where data has not been submitted by individual providers and </w:t>
      </w:r>
      <w:r w:rsidR="00C42AE2">
        <w:t xml:space="preserve">where averages are used and </w:t>
      </w:r>
      <w:r>
        <w:t xml:space="preserve">as such the information below </w:t>
      </w:r>
      <w:r w:rsidR="006B456C">
        <w:t xml:space="preserve">provides a general rather than precise representation of the </w:t>
      </w:r>
      <w:r w:rsidR="00C42AE2">
        <w:t>Ethnic minority participation.</w:t>
      </w:r>
      <w:r w:rsidR="006B456C">
        <w:t xml:space="preserve"> </w:t>
      </w:r>
    </w:p>
    <w:p w14:paraId="7C6BBDBC" w14:textId="0042A672" w:rsidR="005A49C1" w:rsidRDefault="005A49C1">
      <w:pPr>
        <w:rPr>
          <w:b/>
          <w:bCs/>
        </w:rPr>
      </w:pPr>
      <w:r>
        <w:rPr>
          <w:b/>
          <w:bCs/>
        </w:rPr>
        <w:t>LLB</w:t>
      </w:r>
    </w:p>
    <w:p w14:paraId="17F81937" w14:textId="67353717" w:rsidR="00C56EAD" w:rsidRDefault="007F5464">
      <w:r>
        <w:rPr>
          <w:noProof/>
        </w:rPr>
        <w:drawing>
          <wp:inline distT="0" distB="0" distL="0" distR="0" wp14:anchorId="7F8F5EB8" wp14:editId="6AAFBB8A">
            <wp:extent cx="5702300" cy="3365500"/>
            <wp:effectExtent l="0" t="0" r="12700" b="6350"/>
            <wp:docPr id="2" name="Chart 2">
              <a:extLst xmlns:a="http://schemas.openxmlformats.org/drawingml/2006/main">
                <a:ext uri="{FF2B5EF4-FFF2-40B4-BE49-F238E27FC236}">
                  <a16:creationId xmlns:a16="http://schemas.microsoft.com/office/drawing/2014/main" id="{19ED541D-84EF-4CA0-98BC-3DB3BA75D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BE65AC" w14:textId="15AEC5AD" w:rsidR="007F51E1" w:rsidRDefault="00334D4B">
      <w:r>
        <w:t xml:space="preserve">From our own work those individuals who select </w:t>
      </w:r>
      <w:r w:rsidR="004A4CF2">
        <w:t>‘Other’ are a wide range of individuals. Sometimes that is someone from a white background but not a white British or white Scottish background. Sometimes it may be someone from an ethnic minority group that is not named in the options. As we do not know we have presented both ‘’ethnic minority background combined (excluding ‘’Other’’)’’ and ‘’ethnic minority background combined (including ‘’Other’’)’’ for completeness.</w:t>
      </w:r>
    </w:p>
    <w:p w14:paraId="4724D3CB" w14:textId="6ADDFA12" w:rsidR="00D20B9F" w:rsidRDefault="00D20B9F"/>
    <w:p w14:paraId="60CF70E2" w14:textId="112A811F" w:rsidR="00D20B9F" w:rsidRDefault="00D20B9F"/>
    <w:p w14:paraId="26A82EC5" w14:textId="1D17115D" w:rsidR="00D20B9F" w:rsidRDefault="00D20B9F"/>
    <w:p w14:paraId="1901CF70" w14:textId="757FCD6E" w:rsidR="00D20B9F" w:rsidRDefault="00D20B9F"/>
    <w:p w14:paraId="42F8FBAF" w14:textId="64DC32D4" w:rsidR="00D20B9F" w:rsidRDefault="00D20B9F"/>
    <w:tbl>
      <w:tblPr>
        <w:tblStyle w:val="TableGrid"/>
        <w:tblW w:w="0" w:type="auto"/>
        <w:tblLook w:val="04A0" w:firstRow="1" w:lastRow="0" w:firstColumn="1" w:lastColumn="0" w:noHBand="0" w:noVBand="1"/>
      </w:tblPr>
      <w:tblGrid>
        <w:gridCol w:w="1280"/>
        <w:gridCol w:w="1296"/>
        <w:gridCol w:w="1296"/>
        <w:gridCol w:w="1279"/>
        <w:gridCol w:w="1273"/>
        <w:gridCol w:w="1296"/>
        <w:gridCol w:w="1296"/>
      </w:tblGrid>
      <w:tr w:rsidR="00F45175" w14:paraId="2BFD3A17" w14:textId="77777777" w:rsidTr="00D20B9F">
        <w:tc>
          <w:tcPr>
            <w:tcW w:w="1280" w:type="dxa"/>
          </w:tcPr>
          <w:p w14:paraId="1E786BCA" w14:textId="5AA971DA" w:rsidR="00F45175" w:rsidRPr="007508DF" w:rsidRDefault="000E32EA">
            <w:pPr>
              <w:rPr>
                <w:b/>
                <w:bCs/>
              </w:rPr>
            </w:pPr>
            <w:r w:rsidRPr="007508DF">
              <w:rPr>
                <w:b/>
                <w:bCs/>
              </w:rPr>
              <w:t>Year</w:t>
            </w:r>
          </w:p>
        </w:tc>
        <w:tc>
          <w:tcPr>
            <w:tcW w:w="1296" w:type="dxa"/>
          </w:tcPr>
          <w:p w14:paraId="0CCBDC82" w14:textId="17B49CF6" w:rsidR="00F45175" w:rsidRPr="007508DF" w:rsidRDefault="000D4393">
            <w:pPr>
              <w:rPr>
                <w:b/>
                <w:bCs/>
              </w:rPr>
            </w:pPr>
            <w:r w:rsidRPr="007508DF">
              <w:rPr>
                <w:b/>
                <w:bCs/>
              </w:rPr>
              <w:t>Combined Black background</w:t>
            </w:r>
          </w:p>
        </w:tc>
        <w:tc>
          <w:tcPr>
            <w:tcW w:w="1296" w:type="dxa"/>
          </w:tcPr>
          <w:p w14:paraId="03D71C94" w14:textId="1B82C5C0" w:rsidR="00F45175" w:rsidRPr="007508DF" w:rsidRDefault="000D4393">
            <w:pPr>
              <w:rPr>
                <w:b/>
                <w:bCs/>
              </w:rPr>
            </w:pPr>
            <w:r w:rsidRPr="007508DF">
              <w:rPr>
                <w:b/>
                <w:bCs/>
              </w:rPr>
              <w:t>Combined Asian background</w:t>
            </w:r>
          </w:p>
        </w:tc>
        <w:tc>
          <w:tcPr>
            <w:tcW w:w="1279" w:type="dxa"/>
          </w:tcPr>
          <w:p w14:paraId="6E7019D4" w14:textId="23E51FDE" w:rsidR="00F45175" w:rsidRPr="007508DF" w:rsidRDefault="000D4393">
            <w:pPr>
              <w:rPr>
                <w:b/>
                <w:bCs/>
              </w:rPr>
            </w:pPr>
            <w:r w:rsidRPr="007508DF">
              <w:rPr>
                <w:b/>
                <w:bCs/>
              </w:rPr>
              <w:t>Mixed or multiple ethnic groups</w:t>
            </w:r>
          </w:p>
        </w:tc>
        <w:tc>
          <w:tcPr>
            <w:tcW w:w="1273" w:type="dxa"/>
          </w:tcPr>
          <w:p w14:paraId="5D9BBF78" w14:textId="67C71C4F" w:rsidR="00F45175" w:rsidRPr="007508DF" w:rsidRDefault="000D4393">
            <w:pPr>
              <w:rPr>
                <w:b/>
                <w:bCs/>
              </w:rPr>
            </w:pPr>
            <w:r w:rsidRPr="007508DF">
              <w:rPr>
                <w:b/>
                <w:bCs/>
              </w:rPr>
              <w:t>Other</w:t>
            </w:r>
          </w:p>
        </w:tc>
        <w:tc>
          <w:tcPr>
            <w:tcW w:w="1296" w:type="dxa"/>
          </w:tcPr>
          <w:p w14:paraId="3B0D3656" w14:textId="37A64171" w:rsidR="00F45175" w:rsidRPr="007508DF" w:rsidRDefault="000D4393">
            <w:pPr>
              <w:rPr>
                <w:b/>
                <w:bCs/>
              </w:rPr>
            </w:pPr>
            <w:r w:rsidRPr="007508DF">
              <w:rPr>
                <w:b/>
                <w:bCs/>
              </w:rPr>
              <w:t>Ethnic minority background (combined) (excluding ‘’Other’’)</w:t>
            </w:r>
          </w:p>
        </w:tc>
        <w:tc>
          <w:tcPr>
            <w:tcW w:w="1296" w:type="dxa"/>
          </w:tcPr>
          <w:p w14:paraId="04EA4F9F" w14:textId="69A71F22" w:rsidR="00F45175" w:rsidRPr="007508DF" w:rsidRDefault="000D4393">
            <w:pPr>
              <w:rPr>
                <w:b/>
                <w:bCs/>
              </w:rPr>
            </w:pPr>
            <w:r w:rsidRPr="007508DF">
              <w:rPr>
                <w:b/>
                <w:bCs/>
              </w:rPr>
              <w:t>Ethnic minority background (combined) (including ‘’Other’’)</w:t>
            </w:r>
          </w:p>
        </w:tc>
      </w:tr>
      <w:tr w:rsidR="000E32EA" w14:paraId="406187D7" w14:textId="77777777" w:rsidTr="00D20B9F">
        <w:tc>
          <w:tcPr>
            <w:tcW w:w="1280" w:type="dxa"/>
          </w:tcPr>
          <w:p w14:paraId="385E5B57" w14:textId="0D1A62BA" w:rsidR="000E32EA" w:rsidRDefault="000E32EA">
            <w:r>
              <w:t>2012/13</w:t>
            </w:r>
          </w:p>
        </w:tc>
        <w:tc>
          <w:tcPr>
            <w:tcW w:w="1296" w:type="dxa"/>
          </w:tcPr>
          <w:p w14:paraId="16E2DC6B" w14:textId="3D551036" w:rsidR="000E32EA" w:rsidRDefault="000D4393" w:rsidP="000D4393">
            <w:pPr>
              <w:jc w:val="center"/>
            </w:pPr>
            <w:r>
              <w:t>1.00%</w:t>
            </w:r>
          </w:p>
        </w:tc>
        <w:tc>
          <w:tcPr>
            <w:tcW w:w="1296" w:type="dxa"/>
          </w:tcPr>
          <w:p w14:paraId="182EB71C" w14:textId="31850D35" w:rsidR="000E32EA" w:rsidRDefault="003D6A06" w:rsidP="000D4393">
            <w:pPr>
              <w:jc w:val="center"/>
            </w:pPr>
            <w:r>
              <w:t>4.20%</w:t>
            </w:r>
          </w:p>
        </w:tc>
        <w:tc>
          <w:tcPr>
            <w:tcW w:w="1279" w:type="dxa"/>
          </w:tcPr>
          <w:p w14:paraId="53337687" w14:textId="3A58ACC8" w:rsidR="000E32EA" w:rsidRDefault="00793C72" w:rsidP="000D4393">
            <w:pPr>
              <w:jc w:val="center"/>
            </w:pPr>
            <w:r>
              <w:t>1.10%</w:t>
            </w:r>
          </w:p>
        </w:tc>
        <w:tc>
          <w:tcPr>
            <w:tcW w:w="1273" w:type="dxa"/>
          </w:tcPr>
          <w:p w14:paraId="7856EC36" w14:textId="1FA0468C" w:rsidR="000E32EA" w:rsidRDefault="00D655C4" w:rsidP="000D4393">
            <w:pPr>
              <w:jc w:val="center"/>
            </w:pPr>
            <w:r>
              <w:t>0.90%</w:t>
            </w:r>
          </w:p>
        </w:tc>
        <w:tc>
          <w:tcPr>
            <w:tcW w:w="1296" w:type="dxa"/>
          </w:tcPr>
          <w:p w14:paraId="39B0C549" w14:textId="595847C5" w:rsidR="000E32EA" w:rsidRDefault="00D655C4" w:rsidP="000D4393">
            <w:pPr>
              <w:jc w:val="center"/>
            </w:pPr>
            <w:r>
              <w:t>6.30%</w:t>
            </w:r>
          </w:p>
        </w:tc>
        <w:tc>
          <w:tcPr>
            <w:tcW w:w="1296" w:type="dxa"/>
          </w:tcPr>
          <w:p w14:paraId="4D8D4A20" w14:textId="28D993C2" w:rsidR="000E32EA" w:rsidRDefault="00D655C4" w:rsidP="000D4393">
            <w:pPr>
              <w:jc w:val="center"/>
            </w:pPr>
            <w:r>
              <w:t>7.20%</w:t>
            </w:r>
          </w:p>
        </w:tc>
      </w:tr>
      <w:tr w:rsidR="000E32EA" w14:paraId="2B52AB4C" w14:textId="77777777" w:rsidTr="00D20B9F">
        <w:tc>
          <w:tcPr>
            <w:tcW w:w="1280" w:type="dxa"/>
          </w:tcPr>
          <w:p w14:paraId="2F3B3FB4" w14:textId="0A51081B" w:rsidR="000E32EA" w:rsidRDefault="000E32EA">
            <w:r>
              <w:t>2013/14</w:t>
            </w:r>
          </w:p>
        </w:tc>
        <w:tc>
          <w:tcPr>
            <w:tcW w:w="1296" w:type="dxa"/>
          </w:tcPr>
          <w:p w14:paraId="0F07AA3F" w14:textId="4ACCD69A" w:rsidR="000E32EA" w:rsidRDefault="00F4349A" w:rsidP="000D4393">
            <w:pPr>
              <w:jc w:val="center"/>
            </w:pPr>
            <w:r>
              <w:t>1.20%</w:t>
            </w:r>
          </w:p>
        </w:tc>
        <w:tc>
          <w:tcPr>
            <w:tcW w:w="1296" w:type="dxa"/>
          </w:tcPr>
          <w:p w14:paraId="341ADBCC" w14:textId="0125907C" w:rsidR="000E32EA" w:rsidRDefault="003D6A06" w:rsidP="000D4393">
            <w:pPr>
              <w:jc w:val="center"/>
            </w:pPr>
            <w:r>
              <w:t>5.40%</w:t>
            </w:r>
          </w:p>
        </w:tc>
        <w:tc>
          <w:tcPr>
            <w:tcW w:w="1279" w:type="dxa"/>
          </w:tcPr>
          <w:p w14:paraId="056F01B2" w14:textId="3160B384" w:rsidR="000E32EA" w:rsidRDefault="00793C72" w:rsidP="000D4393">
            <w:pPr>
              <w:jc w:val="center"/>
            </w:pPr>
            <w:r>
              <w:t>1.80%</w:t>
            </w:r>
          </w:p>
        </w:tc>
        <w:tc>
          <w:tcPr>
            <w:tcW w:w="1273" w:type="dxa"/>
          </w:tcPr>
          <w:p w14:paraId="0EA0C250" w14:textId="6F21E246" w:rsidR="000E32EA" w:rsidRDefault="00D655C4" w:rsidP="000D4393">
            <w:pPr>
              <w:jc w:val="center"/>
            </w:pPr>
            <w:r>
              <w:t>0.50%</w:t>
            </w:r>
          </w:p>
        </w:tc>
        <w:tc>
          <w:tcPr>
            <w:tcW w:w="1296" w:type="dxa"/>
          </w:tcPr>
          <w:p w14:paraId="484B36D4" w14:textId="3201D5CF" w:rsidR="000E32EA" w:rsidRDefault="00D655C4" w:rsidP="000D4393">
            <w:pPr>
              <w:jc w:val="center"/>
            </w:pPr>
            <w:r>
              <w:t>8.40%</w:t>
            </w:r>
          </w:p>
        </w:tc>
        <w:tc>
          <w:tcPr>
            <w:tcW w:w="1296" w:type="dxa"/>
          </w:tcPr>
          <w:p w14:paraId="08832C99" w14:textId="7C2498B5" w:rsidR="000E32EA" w:rsidRDefault="00D655C4" w:rsidP="000D4393">
            <w:pPr>
              <w:jc w:val="center"/>
            </w:pPr>
            <w:r>
              <w:t>8.90%</w:t>
            </w:r>
          </w:p>
        </w:tc>
      </w:tr>
      <w:tr w:rsidR="000E32EA" w14:paraId="638AC097" w14:textId="77777777" w:rsidTr="00D20B9F">
        <w:tc>
          <w:tcPr>
            <w:tcW w:w="1280" w:type="dxa"/>
          </w:tcPr>
          <w:p w14:paraId="3CF10836" w14:textId="29E1E044" w:rsidR="000E32EA" w:rsidRDefault="000D4393">
            <w:r>
              <w:t>2014/15</w:t>
            </w:r>
          </w:p>
        </w:tc>
        <w:tc>
          <w:tcPr>
            <w:tcW w:w="1296" w:type="dxa"/>
          </w:tcPr>
          <w:p w14:paraId="05D4CFB8" w14:textId="154A34B4" w:rsidR="000E32EA" w:rsidRDefault="00F4349A" w:rsidP="000D4393">
            <w:pPr>
              <w:jc w:val="center"/>
            </w:pPr>
            <w:r>
              <w:t>4.80%</w:t>
            </w:r>
          </w:p>
        </w:tc>
        <w:tc>
          <w:tcPr>
            <w:tcW w:w="1296" w:type="dxa"/>
          </w:tcPr>
          <w:p w14:paraId="50317FFD" w14:textId="68FDA67F" w:rsidR="000E32EA" w:rsidRDefault="003D6A06" w:rsidP="000D4393">
            <w:pPr>
              <w:jc w:val="center"/>
            </w:pPr>
            <w:r>
              <w:t>4.30%</w:t>
            </w:r>
          </w:p>
        </w:tc>
        <w:tc>
          <w:tcPr>
            <w:tcW w:w="1279" w:type="dxa"/>
          </w:tcPr>
          <w:p w14:paraId="1607E4F4" w14:textId="7DA62B30" w:rsidR="000E32EA" w:rsidRDefault="00D655C4" w:rsidP="000D4393">
            <w:pPr>
              <w:jc w:val="center"/>
            </w:pPr>
            <w:r>
              <w:t>1.80%</w:t>
            </w:r>
          </w:p>
        </w:tc>
        <w:tc>
          <w:tcPr>
            <w:tcW w:w="1273" w:type="dxa"/>
          </w:tcPr>
          <w:p w14:paraId="47E72887" w14:textId="270ECFA5" w:rsidR="000E32EA" w:rsidRDefault="00D655C4" w:rsidP="000D4393">
            <w:pPr>
              <w:jc w:val="center"/>
            </w:pPr>
            <w:r>
              <w:t>1.10%</w:t>
            </w:r>
          </w:p>
        </w:tc>
        <w:tc>
          <w:tcPr>
            <w:tcW w:w="1296" w:type="dxa"/>
          </w:tcPr>
          <w:p w14:paraId="0A0A8C40" w14:textId="675B7924" w:rsidR="000E32EA" w:rsidRDefault="00D655C4" w:rsidP="000D4393">
            <w:pPr>
              <w:jc w:val="center"/>
            </w:pPr>
            <w:r>
              <w:t>10.90%</w:t>
            </w:r>
          </w:p>
        </w:tc>
        <w:tc>
          <w:tcPr>
            <w:tcW w:w="1296" w:type="dxa"/>
          </w:tcPr>
          <w:p w14:paraId="51B3387C" w14:textId="5C23E60C" w:rsidR="000E32EA" w:rsidRDefault="00D655C4" w:rsidP="000D4393">
            <w:pPr>
              <w:jc w:val="center"/>
            </w:pPr>
            <w:r>
              <w:t>12.00%</w:t>
            </w:r>
          </w:p>
        </w:tc>
      </w:tr>
      <w:tr w:rsidR="000D4393" w14:paraId="24425367" w14:textId="77777777" w:rsidTr="00D20B9F">
        <w:tc>
          <w:tcPr>
            <w:tcW w:w="1280" w:type="dxa"/>
          </w:tcPr>
          <w:p w14:paraId="50804183" w14:textId="45AE5051" w:rsidR="000D4393" w:rsidRDefault="000D4393">
            <w:r>
              <w:t>2015/16</w:t>
            </w:r>
          </w:p>
        </w:tc>
        <w:tc>
          <w:tcPr>
            <w:tcW w:w="1296" w:type="dxa"/>
          </w:tcPr>
          <w:p w14:paraId="635E2C0F" w14:textId="76C31DAD" w:rsidR="000D4393" w:rsidRDefault="00F4349A" w:rsidP="000D4393">
            <w:pPr>
              <w:jc w:val="center"/>
            </w:pPr>
            <w:r>
              <w:t>1.70%</w:t>
            </w:r>
          </w:p>
        </w:tc>
        <w:tc>
          <w:tcPr>
            <w:tcW w:w="1296" w:type="dxa"/>
          </w:tcPr>
          <w:p w14:paraId="2ECD23C0" w14:textId="04D3065C" w:rsidR="000D4393" w:rsidRDefault="003D6A06" w:rsidP="000D4393">
            <w:pPr>
              <w:jc w:val="center"/>
            </w:pPr>
            <w:r>
              <w:t>6.50%</w:t>
            </w:r>
          </w:p>
        </w:tc>
        <w:tc>
          <w:tcPr>
            <w:tcW w:w="1279" w:type="dxa"/>
          </w:tcPr>
          <w:p w14:paraId="0EE15099" w14:textId="0969BCE0" w:rsidR="000D4393" w:rsidRDefault="00D655C4" w:rsidP="000D4393">
            <w:pPr>
              <w:jc w:val="center"/>
            </w:pPr>
            <w:r>
              <w:t>2.60%</w:t>
            </w:r>
          </w:p>
        </w:tc>
        <w:tc>
          <w:tcPr>
            <w:tcW w:w="1273" w:type="dxa"/>
          </w:tcPr>
          <w:p w14:paraId="74DDBADF" w14:textId="643BD69B" w:rsidR="000D4393" w:rsidRDefault="00D655C4" w:rsidP="000D4393">
            <w:pPr>
              <w:jc w:val="center"/>
            </w:pPr>
            <w:r>
              <w:t>0.60%</w:t>
            </w:r>
          </w:p>
        </w:tc>
        <w:tc>
          <w:tcPr>
            <w:tcW w:w="1296" w:type="dxa"/>
          </w:tcPr>
          <w:p w14:paraId="7956ED2D" w14:textId="6EC84116" w:rsidR="000D4393" w:rsidRDefault="00D655C4" w:rsidP="000D4393">
            <w:pPr>
              <w:jc w:val="center"/>
            </w:pPr>
            <w:r>
              <w:t>10.80%</w:t>
            </w:r>
          </w:p>
        </w:tc>
        <w:tc>
          <w:tcPr>
            <w:tcW w:w="1296" w:type="dxa"/>
          </w:tcPr>
          <w:p w14:paraId="16D5D468" w14:textId="63E9B2F9" w:rsidR="000D4393" w:rsidRDefault="00D655C4" w:rsidP="000D4393">
            <w:pPr>
              <w:jc w:val="center"/>
            </w:pPr>
            <w:r>
              <w:t>11.40%</w:t>
            </w:r>
          </w:p>
        </w:tc>
      </w:tr>
      <w:tr w:rsidR="000D4393" w14:paraId="74A094AA" w14:textId="77777777" w:rsidTr="00D20B9F">
        <w:tc>
          <w:tcPr>
            <w:tcW w:w="1280" w:type="dxa"/>
          </w:tcPr>
          <w:p w14:paraId="138E23AD" w14:textId="46A0DCE1" w:rsidR="000D4393" w:rsidRDefault="003D6A06">
            <w:r>
              <w:t>2016/17</w:t>
            </w:r>
          </w:p>
        </w:tc>
        <w:tc>
          <w:tcPr>
            <w:tcW w:w="1296" w:type="dxa"/>
          </w:tcPr>
          <w:p w14:paraId="4EFB61AA" w14:textId="68067933" w:rsidR="000D4393" w:rsidRDefault="003D6A06" w:rsidP="000D4393">
            <w:pPr>
              <w:jc w:val="center"/>
            </w:pPr>
            <w:r>
              <w:t>1.60%</w:t>
            </w:r>
          </w:p>
        </w:tc>
        <w:tc>
          <w:tcPr>
            <w:tcW w:w="1296" w:type="dxa"/>
          </w:tcPr>
          <w:p w14:paraId="1CDE8AFB" w14:textId="2617982D" w:rsidR="000D4393" w:rsidRDefault="00793C72" w:rsidP="000D4393">
            <w:pPr>
              <w:jc w:val="center"/>
            </w:pPr>
            <w:r>
              <w:t>6.70%</w:t>
            </w:r>
          </w:p>
        </w:tc>
        <w:tc>
          <w:tcPr>
            <w:tcW w:w="1279" w:type="dxa"/>
          </w:tcPr>
          <w:p w14:paraId="208678F5" w14:textId="7D205F59" w:rsidR="000D4393" w:rsidRDefault="00D655C4" w:rsidP="000D4393">
            <w:pPr>
              <w:jc w:val="center"/>
            </w:pPr>
            <w:r>
              <w:t>2.60%</w:t>
            </w:r>
          </w:p>
        </w:tc>
        <w:tc>
          <w:tcPr>
            <w:tcW w:w="1273" w:type="dxa"/>
          </w:tcPr>
          <w:p w14:paraId="61DB0434" w14:textId="53970D4E" w:rsidR="000D4393" w:rsidRDefault="00D655C4" w:rsidP="000D4393">
            <w:pPr>
              <w:jc w:val="center"/>
            </w:pPr>
            <w:r>
              <w:t>1.40%</w:t>
            </w:r>
          </w:p>
        </w:tc>
        <w:tc>
          <w:tcPr>
            <w:tcW w:w="1296" w:type="dxa"/>
          </w:tcPr>
          <w:p w14:paraId="2A3D1762" w14:textId="4CC3A2B9" w:rsidR="000D4393" w:rsidRDefault="00D655C4" w:rsidP="000D4393">
            <w:pPr>
              <w:jc w:val="center"/>
            </w:pPr>
            <w:r>
              <w:t>10.90%</w:t>
            </w:r>
          </w:p>
        </w:tc>
        <w:tc>
          <w:tcPr>
            <w:tcW w:w="1296" w:type="dxa"/>
          </w:tcPr>
          <w:p w14:paraId="04B6D1F0" w14:textId="222BBFAB" w:rsidR="000D4393" w:rsidRDefault="00D655C4" w:rsidP="000D4393">
            <w:pPr>
              <w:jc w:val="center"/>
            </w:pPr>
            <w:r>
              <w:t>12.30%</w:t>
            </w:r>
          </w:p>
        </w:tc>
      </w:tr>
      <w:tr w:rsidR="003D6A06" w14:paraId="1CAC2CE1" w14:textId="77777777" w:rsidTr="00D20B9F">
        <w:tc>
          <w:tcPr>
            <w:tcW w:w="1280" w:type="dxa"/>
          </w:tcPr>
          <w:p w14:paraId="7EB3F065" w14:textId="2DC24ED9" w:rsidR="003D6A06" w:rsidRDefault="003D6A06" w:rsidP="003D6A06">
            <w:r>
              <w:t>2017/18</w:t>
            </w:r>
          </w:p>
        </w:tc>
        <w:tc>
          <w:tcPr>
            <w:tcW w:w="1296" w:type="dxa"/>
          </w:tcPr>
          <w:p w14:paraId="581A4987" w14:textId="48DA6D99" w:rsidR="003D6A06" w:rsidRDefault="003D6A06" w:rsidP="003D6A06">
            <w:pPr>
              <w:jc w:val="center"/>
            </w:pPr>
            <w:r>
              <w:t>1.50%</w:t>
            </w:r>
          </w:p>
        </w:tc>
        <w:tc>
          <w:tcPr>
            <w:tcW w:w="1296" w:type="dxa"/>
          </w:tcPr>
          <w:p w14:paraId="03839D2F" w14:textId="61C8A482" w:rsidR="003D6A06" w:rsidRDefault="00793C72" w:rsidP="003D6A06">
            <w:pPr>
              <w:jc w:val="center"/>
            </w:pPr>
            <w:r>
              <w:t>7.20%</w:t>
            </w:r>
          </w:p>
        </w:tc>
        <w:tc>
          <w:tcPr>
            <w:tcW w:w="1279" w:type="dxa"/>
          </w:tcPr>
          <w:p w14:paraId="6B31BF15" w14:textId="5D8EAD22" w:rsidR="003D6A06" w:rsidRDefault="00D655C4" w:rsidP="003D6A06">
            <w:pPr>
              <w:jc w:val="center"/>
            </w:pPr>
            <w:r>
              <w:t>2.80%</w:t>
            </w:r>
          </w:p>
        </w:tc>
        <w:tc>
          <w:tcPr>
            <w:tcW w:w="1273" w:type="dxa"/>
          </w:tcPr>
          <w:p w14:paraId="6E7C6C81" w14:textId="138AEE45" w:rsidR="003D6A06" w:rsidRDefault="00D655C4" w:rsidP="003D6A06">
            <w:pPr>
              <w:jc w:val="center"/>
            </w:pPr>
            <w:r>
              <w:t>1.40%</w:t>
            </w:r>
          </w:p>
        </w:tc>
        <w:tc>
          <w:tcPr>
            <w:tcW w:w="1296" w:type="dxa"/>
          </w:tcPr>
          <w:p w14:paraId="365B9603" w14:textId="79E2E11E" w:rsidR="003D6A06" w:rsidRDefault="00D655C4" w:rsidP="003D6A06">
            <w:pPr>
              <w:jc w:val="center"/>
            </w:pPr>
            <w:r>
              <w:t>11.50%</w:t>
            </w:r>
          </w:p>
        </w:tc>
        <w:tc>
          <w:tcPr>
            <w:tcW w:w="1296" w:type="dxa"/>
          </w:tcPr>
          <w:p w14:paraId="7296C262" w14:textId="5F468171" w:rsidR="003D6A06" w:rsidRDefault="00D655C4" w:rsidP="003D6A06">
            <w:pPr>
              <w:jc w:val="center"/>
            </w:pPr>
            <w:r>
              <w:t>12.90%</w:t>
            </w:r>
          </w:p>
        </w:tc>
      </w:tr>
      <w:tr w:rsidR="003D6A06" w14:paraId="2FBECCDD" w14:textId="77777777" w:rsidTr="00D20B9F">
        <w:tc>
          <w:tcPr>
            <w:tcW w:w="1280" w:type="dxa"/>
          </w:tcPr>
          <w:p w14:paraId="6FFF820D" w14:textId="1257A397" w:rsidR="003D6A06" w:rsidRDefault="003D6A06" w:rsidP="003D6A06">
            <w:r>
              <w:t>2018/19</w:t>
            </w:r>
          </w:p>
        </w:tc>
        <w:tc>
          <w:tcPr>
            <w:tcW w:w="1296" w:type="dxa"/>
          </w:tcPr>
          <w:p w14:paraId="382D328C" w14:textId="6118AF77" w:rsidR="003D6A06" w:rsidRDefault="003D6A06" w:rsidP="003D6A06">
            <w:pPr>
              <w:jc w:val="center"/>
            </w:pPr>
            <w:r>
              <w:t>2.20%</w:t>
            </w:r>
          </w:p>
        </w:tc>
        <w:tc>
          <w:tcPr>
            <w:tcW w:w="1296" w:type="dxa"/>
          </w:tcPr>
          <w:p w14:paraId="38F8E838" w14:textId="25116218" w:rsidR="003D6A06" w:rsidRDefault="00793C72" w:rsidP="003D6A06">
            <w:pPr>
              <w:jc w:val="center"/>
            </w:pPr>
            <w:r>
              <w:t>7.20%</w:t>
            </w:r>
          </w:p>
        </w:tc>
        <w:tc>
          <w:tcPr>
            <w:tcW w:w="1279" w:type="dxa"/>
          </w:tcPr>
          <w:p w14:paraId="3FF1917F" w14:textId="37BD7FC8" w:rsidR="003D6A06" w:rsidRDefault="00D655C4" w:rsidP="003D6A06">
            <w:pPr>
              <w:jc w:val="center"/>
            </w:pPr>
            <w:r>
              <w:t>3.00%</w:t>
            </w:r>
          </w:p>
        </w:tc>
        <w:tc>
          <w:tcPr>
            <w:tcW w:w="1273" w:type="dxa"/>
          </w:tcPr>
          <w:p w14:paraId="31679738" w14:textId="0589C3FC" w:rsidR="003D6A06" w:rsidRDefault="00D655C4" w:rsidP="003D6A06">
            <w:pPr>
              <w:jc w:val="center"/>
            </w:pPr>
            <w:r>
              <w:t>1.60%</w:t>
            </w:r>
          </w:p>
        </w:tc>
        <w:tc>
          <w:tcPr>
            <w:tcW w:w="1296" w:type="dxa"/>
          </w:tcPr>
          <w:p w14:paraId="6E211044" w14:textId="55F9D421" w:rsidR="003D6A06" w:rsidRDefault="00D655C4" w:rsidP="003D6A06">
            <w:pPr>
              <w:jc w:val="center"/>
            </w:pPr>
            <w:r>
              <w:t>12.40%</w:t>
            </w:r>
          </w:p>
        </w:tc>
        <w:tc>
          <w:tcPr>
            <w:tcW w:w="1296" w:type="dxa"/>
          </w:tcPr>
          <w:p w14:paraId="0579E124" w14:textId="570E8407" w:rsidR="003D6A06" w:rsidRDefault="00D655C4" w:rsidP="003D6A06">
            <w:pPr>
              <w:jc w:val="center"/>
            </w:pPr>
            <w:r>
              <w:t>14.00%</w:t>
            </w:r>
          </w:p>
        </w:tc>
      </w:tr>
    </w:tbl>
    <w:p w14:paraId="15BCA88D" w14:textId="019ADD60" w:rsidR="00F45175" w:rsidRDefault="00F45175"/>
    <w:p w14:paraId="0E45F8E9" w14:textId="4784F41D" w:rsidR="003E4BEC" w:rsidRDefault="00D20B9F">
      <w:r>
        <w:rPr>
          <w:b/>
          <w:bCs/>
        </w:rPr>
        <w:t xml:space="preserve">NB:  </w:t>
      </w:r>
      <w:r>
        <w:t>In 2018/19 two universities reported their figures in a slightly different way which made it difficult to include in the table above (i.e. they reported those from ethnic minority backgrounds as one group and those from white backgrounds as one group). Therefore, recategorizing all data sets we have produced the table below which gives us the most complete picture</w:t>
      </w:r>
      <w:r w:rsidR="004921F0">
        <w:t xml:space="preserve"> </w:t>
      </w:r>
      <w:r w:rsidR="007602B1">
        <w:t xml:space="preserve">The data does not differ significantly (less than 0.5% of a percentage point but it does not allow us full insight into </w:t>
      </w:r>
      <w:r w:rsidR="003E4BEC">
        <w:t>the experience of different ethnicities).</w:t>
      </w:r>
      <w:r w:rsidR="00367D45">
        <w:t xml:space="preserve"> </w:t>
      </w:r>
      <w:r w:rsidR="003E4BEC">
        <w:t>The full % are, therefore:</w:t>
      </w:r>
    </w:p>
    <w:tbl>
      <w:tblPr>
        <w:tblStyle w:val="TableGrid"/>
        <w:tblW w:w="9067" w:type="dxa"/>
        <w:tblLook w:val="04A0" w:firstRow="1" w:lastRow="0" w:firstColumn="1" w:lastColumn="0" w:noHBand="0" w:noVBand="1"/>
      </w:tblPr>
      <w:tblGrid>
        <w:gridCol w:w="1790"/>
        <w:gridCol w:w="2458"/>
        <w:gridCol w:w="2410"/>
        <w:gridCol w:w="2409"/>
      </w:tblGrid>
      <w:tr w:rsidR="003E4BEC" w:rsidRPr="009E7D1E" w14:paraId="653942E0" w14:textId="77777777" w:rsidTr="00B01AFD">
        <w:tc>
          <w:tcPr>
            <w:tcW w:w="1790" w:type="dxa"/>
          </w:tcPr>
          <w:p w14:paraId="4EAD55A0" w14:textId="77777777" w:rsidR="003E4BEC" w:rsidRPr="009E7D1E" w:rsidRDefault="003E4BEC" w:rsidP="00A51A61">
            <w:pPr>
              <w:rPr>
                <w:b/>
                <w:bCs/>
              </w:rPr>
            </w:pPr>
          </w:p>
        </w:tc>
        <w:tc>
          <w:tcPr>
            <w:tcW w:w="2458" w:type="dxa"/>
          </w:tcPr>
          <w:p w14:paraId="6ABAAB85" w14:textId="77777777" w:rsidR="003E4BEC" w:rsidRPr="009E7D1E" w:rsidRDefault="003E4BEC" w:rsidP="00A51A61">
            <w:pPr>
              <w:rPr>
                <w:b/>
                <w:bCs/>
              </w:rPr>
            </w:pPr>
            <w:r w:rsidRPr="009E7D1E">
              <w:rPr>
                <w:b/>
                <w:bCs/>
              </w:rPr>
              <w:t>White background (total)</w:t>
            </w:r>
          </w:p>
        </w:tc>
        <w:tc>
          <w:tcPr>
            <w:tcW w:w="2410" w:type="dxa"/>
          </w:tcPr>
          <w:p w14:paraId="165309B3" w14:textId="77777777" w:rsidR="003E4BEC" w:rsidRPr="009E7D1E" w:rsidRDefault="003E4BEC" w:rsidP="00A51A61">
            <w:pPr>
              <w:rPr>
                <w:b/>
                <w:bCs/>
              </w:rPr>
            </w:pPr>
            <w:r w:rsidRPr="009E7D1E">
              <w:rPr>
                <w:b/>
                <w:bCs/>
              </w:rPr>
              <w:t>Ethnic minority background(total)</w:t>
            </w:r>
          </w:p>
        </w:tc>
        <w:tc>
          <w:tcPr>
            <w:tcW w:w="2409" w:type="dxa"/>
          </w:tcPr>
          <w:p w14:paraId="0AA7DF96" w14:textId="77777777" w:rsidR="003E4BEC" w:rsidRPr="009E7D1E" w:rsidRDefault="003E4BEC" w:rsidP="00A51A61">
            <w:pPr>
              <w:rPr>
                <w:b/>
                <w:bCs/>
              </w:rPr>
            </w:pPr>
            <w:r>
              <w:rPr>
                <w:b/>
                <w:bCs/>
              </w:rPr>
              <w:t>Not known</w:t>
            </w:r>
          </w:p>
        </w:tc>
      </w:tr>
      <w:tr w:rsidR="003E4BEC" w:rsidRPr="009E7D1E" w14:paraId="6B4CE13C" w14:textId="77777777" w:rsidTr="00B01AFD">
        <w:tc>
          <w:tcPr>
            <w:tcW w:w="1790" w:type="dxa"/>
          </w:tcPr>
          <w:p w14:paraId="60C76CDB" w14:textId="77777777" w:rsidR="003E4BEC" w:rsidRPr="009E7D1E" w:rsidRDefault="003E4BEC" w:rsidP="00A51A61">
            <w:r w:rsidRPr="009E7D1E">
              <w:t>2018/19</w:t>
            </w:r>
          </w:p>
        </w:tc>
        <w:tc>
          <w:tcPr>
            <w:tcW w:w="2458" w:type="dxa"/>
          </w:tcPr>
          <w:p w14:paraId="5DA7F376" w14:textId="77777777" w:rsidR="003E4BEC" w:rsidRPr="009E7D1E" w:rsidRDefault="003E4BEC" w:rsidP="00A51A61">
            <w:r>
              <w:t>85.7%</w:t>
            </w:r>
          </w:p>
        </w:tc>
        <w:tc>
          <w:tcPr>
            <w:tcW w:w="2410" w:type="dxa"/>
          </w:tcPr>
          <w:p w14:paraId="0F33D0E9" w14:textId="77777777" w:rsidR="003E4BEC" w:rsidRPr="009E7D1E" w:rsidRDefault="003E4BEC" w:rsidP="00A51A61">
            <w:r>
              <w:t>13.8%</w:t>
            </w:r>
          </w:p>
        </w:tc>
        <w:tc>
          <w:tcPr>
            <w:tcW w:w="2409" w:type="dxa"/>
          </w:tcPr>
          <w:p w14:paraId="51E2225B" w14:textId="77777777" w:rsidR="003E4BEC" w:rsidRPr="009E7D1E" w:rsidRDefault="003E4BEC" w:rsidP="00A51A61">
            <w:r>
              <w:t>0.7%</w:t>
            </w:r>
          </w:p>
        </w:tc>
      </w:tr>
    </w:tbl>
    <w:p w14:paraId="7F69B560" w14:textId="6DB2B6A1" w:rsidR="003E4BEC" w:rsidRDefault="003E4BEC" w:rsidP="003E4BEC"/>
    <w:p w14:paraId="5A4A4129" w14:textId="41833B67" w:rsidR="00E03822" w:rsidRDefault="00E03822" w:rsidP="003E4BEC">
      <w:r>
        <w:t xml:space="preserve">It should be noted that the percentage is the percentage of LLB students </w:t>
      </w:r>
      <w:r w:rsidR="00392BC2">
        <w:t>who are studying in a given year (e.g. the percentage for 2018/19 outlined directly above includes students in all four years of the Honours degree</w:t>
      </w:r>
      <w:r w:rsidR="00FB5AC8">
        <w:t xml:space="preserve"> including </w:t>
      </w:r>
      <w:r w:rsidR="00392BC2">
        <w:t>part-time students</w:t>
      </w:r>
      <w:r w:rsidR="00FB5AC8">
        <w:t xml:space="preserve"> and </w:t>
      </w:r>
      <w:r w:rsidR="00367D45">
        <w:t>also those studying the accelerated degree.</w:t>
      </w:r>
    </w:p>
    <w:p w14:paraId="7FC3FBD7" w14:textId="762576BC" w:rsidR="00664A7E" w:rsidRDefault="003E4BEC">
      <w:pPr>
        <w:rPr>
          <w:b/>
          <w:bCs/>
        </w:rPr>
      </w:pPr>
      <w:r>
        <w:rPr>
          <w:b/>
          <w:bCs/>
        </w:rPr>
        <w:t>Th</w:t>
      </w:r>
      <w:r w:rsidR="00664A7E" w:rsidRPr="00664A7E">
        <w:rPr>
          <w:b/>
          <w:bCs/>
        </w:rPr>
        <w:t>e Diploma in Professional Legal Practice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20312" w14:paraId="3EADF95B" w14:textId="77777777" w:rsidTr="00D20312">
        <w:tc>
          <w:tcPr>
            <w:tcW w:w="1502" w:type="dxa"/>
          </w:tcPr>
          <w:p w14:paraId="6AB034E7" w14:textId="77777777" w:rsidR="00D20312" w:rsidRDefault="00D20312">
            <w:pPr>
              <w:rPr>
                <w:b/>
                <w:bCs/>
              </w:rPr>
            </w:pPr>
          </w:p>
        </w:tc>
        <w:tc>
          <w:tcPr>
            <w:tcW w:w="1502" w:type="dxa"/>
          </w:tcPr>
          <w:p w14:paraId="04EA67F9" w14:textId="51FA2733" w:rsidR="00D20312" w:rsidRDefault="00D20312">
            <w:pPr>
              <w:rPr>
                <w:b/>
                <w:bCs/>
              </w:rPr>
            </w:pPr>
            <w:r>
              <w:rPr>
                <w:b/>
                <w:bCs/>
              </w:rPr>
              <w:t>Combined Black background students</w:t>
            </w:r>
          </w:p>
        </w:tc>
        <w:tc>
          <w:tcPr>
            <w:tcW w:w="1503" w:type="dxa"/>
          </w:tcPr>
          <w:p w14:paraId="2FA37E12" w14:textId="560EE837" w:rsidR="00D20312" w:rsidRDefault="00D20312">
            <w:pPr>
              <w:rPr>
                <w:b/>
                <w:bCs/>
              </w:rPr>
            </w:pPr>
            <w:r>
              <w:rPr>
                <w:b/>
                <w:bCs/>
              </w:rPr>
              <w:t>Combined Asian background students</w:t>
            </w:r>
          </w:p>
        </w:tc>
        <w:tc>
          <w:tcPr>
            <w:tcW w:w="1503" w:type="dxa"/>
          </w:tcPr>
          <w:p w14:paraId="2E283E60" w14:textId="5971E6AD" w:rsidR="00D20312" w:rsidRDefault="00D20312">
            <w:pPr>
              <w:rPr>
                <w:b/>
                <w:bCs/>
              </w:rPr>
            </w:pPr>
            <w:r>
              <w:rPr>
                <w:b/>
                <w:bCs/>
              </w:rPr>
              <w:t>Combined students from mixed or multiple ethnic groups</w:t>
            </w:r>
          </w:p>
        </w:tc>
        <w:tc>
          <w:tcPr>
            <w:tcW w:w="1503" w:type="dxa"/>
          </w:tcPr>
          <w:p w14:paraId="58EDA770" w14:textId="20A65059" w:rsidR="00D20312" w:rsidRDefault="00D20312">
            <w:pPr>
              <w:rPr>
                <w:b/>
                <w:bCs/>
              </w:rPr>
            </w:pPr>
            <w:r>
              <w:rPr>
                <w:b/>
                <w:bCs/>
              </w:rPr>
              <w:t xml:space="preserve">Ethnic minority total excluding </w:t>
            </w:r>
            <w:r w:rsidR="00506F45">
              <w:rPr>
                <w:b/>
                <w:bCs/>
              </w:rPr>
              <w:t>Other</w:t>
            </w:r>
          </w:p>
        </w:tc>
        <w:tc>
          <w:tcPr>
            <w:tcW w:w="1503" w:type="dxa"/>
          </w:tcPr>
          <w:p w14:paraId="303D673A" w14:textId="5273BE87" w:rsidR="00D20312" w:rsidRDefault="00506F45">
            <w:pPr>
              <w:rPr>
                <w:b/>
                <w:bCs/>
              </w:rPr>
            </w:pPr>
            <w:r>
              <w:rPr>
                <w:b/>
                <w:bCs/>
              </w:rPr>
              <w:t>Ethnic minority total including Other</w:t>
            </w:r>
          </w:p>
        </w:tc>
      </w:tr>
      <w:tr w:rsidR="00D20312" w14:paraId="15838F6D" w14:textId="77777777" w:rsidTr="00D20312">
        <w:tc>
          <w:tcPr>
            <w:tcW w:w="1502" w:type="dxa"/>
          </w:tcPr>
          <w:p w14:paraId="6F69530E" w14:textId="61FB31D6" w:rsidR="00D20312" w:rsidRDefault="00D20312">
            <w:pPr>
              <w:rPr>
                <w:b/>
                <w:bCs/>
              </w:rPr>
            </w:pPr>
            <w:r>
              <w:rPr>
                <w:b/>
                <w:bCs/>
              </w:rPr>
              <w:t>2013/14</w:t>
            </w:r>
          </w:p>
        </w:tc>
        <w:tc>
          <w:tcPr>
            <w:tcW w:w="1502" w:type="dxa"/>
          </w:tcPr>
          <w:p w14:paraId="36A42E88" w14:textId="46C4DBDE" w:rsidR="00D20312" w:rsidRPr="00F816ED" w:rsidRDefault="00506F45" w:rsidP="00506F45">
            <w:pPr>
              <w:jc w:val="center"/>
            </w:pPr>
            <w:r w:rsidRPr="00F816ED">
              <w:t>0.90%</w:t>
            </w:r>
          </w:p>
        </w:tc>
        <w:tc>
          <w:tcPr>
            <w:tcW w:w="1503" w:type="dxa"/>
          </w:tcPr>
          <w:p w14:paraId="5399E75B" w14:textId="34A4DCE6" w:rsidR="00D20312" w:rsidRPr="00F816ED" w:rsidRDefault="005E13E4" w:rsidP="00506F45">
            <w:pPr>
              <w:jc w:val="center"/>
            </w:pPr>
            <w:r w:rsidRPr="00F816ED">
              <w:t>4.90%</w:t>
            </w:r>
          </w:p>
        </w:tc>
        <w:tc>
          <w:tcPr>
            <w:tcW w:w="1503" w:type="dxa"/>
          </w:tcPr>
          <w:p w14:paraId="524D60A1" w14:textId="65237D4A" w:rsidR="00D20312" w:rsidRPr="00F816ED" w:rsidRDefault="005E13E4" w:rsidP="00506F45">
            <w:pPr>
              <w:jc w:val="center"/>
            </w:pPr>
            <w:r w:rsidRPr="00F816ED">
              <w:t>0.50%</w:t>
            </w:r>
          </w:p>
        </w:tc>
        <w:tc>
          <w:tcPr>
            <w:tcW w:w="1503" w:type="dxa"/>
          </w:tcPr>
          <w:p w14:paraId="7D80E0C5" w14:textId="7EE74F50" w:rsidR="00D20312" w:rsidRPr="00F816ED" w:rsidRDefault="005E13E4" w:rsidP="00506F45">
            <w:pPr>
              <w:jc w:val="center"/>
            </w:pPr>
            <w:r w:rsidRPr="00F816ED">
              <w:t>6.30%</w:t>
            </w:r>
          </w:p>
        </w:tc>
        <w:tc>
          <w:tcPr>
            <w:tcW w:w="1503" w:type="dxa"/>
          </w:tcPr>
          <w:p w14:paraId="543BCF11" w14:textId="7C0A83E1" w:rsidR="00D20312" w:rsidRPr="00F816ED" w:rsidRDefault="00F816ED" w:rsidP="00506F45">
            <w:pPr>
              <w:jc w:val="center"/>
            </w:pPr>
            <w:r w:rsidRPr="00F816ED">
              <w:t>6.30%</w:t>
            </w:r>
          </w:p>
        </w:tc>
      </w:tr>
      <w:tr w:rsidR="00D20312" w14:paraId="204387BD" w14:textId="77777777" w:rsidTr="00D20312">
        <w:tc>
          <w:tcPr>
            <w:tcW w:w="1502" w:type="dxa"/>
          </w:tcPr>
          <w:p w14:paraId="2C47E8B8" w14:textId="77470F1F" w:rsidR="00D20312" w:rsidRDefault="00D20312">
            <w:pPr>
              <w:rPr>
                <w:b/>
                <w:bCs/>
              </w:rPr>
            </w:pPr>
            <w:r>
              <w:rPr>
                <w:b/>
                <w:bCs/>
              </w:rPr>
              <w:t>2014/15</w:t>
            </w:r>
          </w:p>
        </w:tc>
        <w:tc>
          <w:tcPr>
            <w:tcW w:w="1502" w:type="dxa"/>
          </w:tcPr>
          <w:p w14:paraId="5DB7B4E8" w14:textId="4D98FFAE" w:rsidR="00D20312" w:rsidRPr="00F816ED" w:rsidRDefault="00506F45" w:rsidP="00506F45">
            <w:pPr>
              <w:jc w:val="center"/>
            </w:pPr>
            <w:r w:rsidRPr="00F816ED">
              <w:t>0.30%</w:t>
            </w:r>
          </w:p>
        </w:tc>
        <w:tc>
          <w:tcPr>
            <w:tcW w:w="1503" w:type="dxa"/>
          </w:tcPr>
          <w:p w14:paraId="6BA40EDB" w14:textId="0D71EF98" w:rsidR="00D20312" w:rsidRPr="00F816ED" w:rsidRDefault="005E13E4" w:rsidP="00506F45">
            <w:pPr>
              <w:jc w:val="center"/>
            </w:pPr>
            <w:r w:rsidRPr="00F816ED">
              <w:t>6.50%</w:t>
            </w:r>
          </w:p>
        </w:tc>
        <w:tc>
          <w:tcPr>
            <w:tcW w:w="1503" w:type="dxa"/>
          </w:tcPr>
          <w:p w14:paraId="0FDADAF4" w14:textId="5D22A47E" w:rsidR="00D20312" w:rsidRPr="00F816ED" w:rsidRDefault="005E13E4" w:rsidP="00506F45">
            <w:pPr>
              <w:jc w:val="center"/>
            </w:pPr>
            <w:r w:rsidRPr="00F816ED">
              <w:t>1.70%</w:t>
            </w:r>
          </w:p>
        </w:tc>
        <w:tc>
          <w:tcPr>
            <w:tcW w:w="1503" w:type="dxa"/>
          </w:tcPr>
          <w:p w14:paraId="5A0E6BA0" w14:textId="3A29AD02" w:rsidR="00D20312" w:rsidRPr="00F816ED" w:rsidRDefault="005E13E4" w:rsidP="00506F45">
            <w:pPr>
              <w:jc w:val="center"/>
            </w:pPr>
            <w:r w:rsidRPr="00F816ED">
              <w:t>8.50%</w:t>
            </w:r>
          </w:p>
        </w:tc>
        <w:tc>
          <w:tcPr>
            <w:tcW w:w="1503" w:type="dxa"/>
          </w:tcPr>
          <w:p w14:paraId="7643C0AC" w14:textId="24929B39" w:rsidR="00D20312" w:rsidRPr="00F816ED" w:rsidRDefault="00F816ED" w:rsidP="00506F45">
            <w:pPr>
              <w:jc w:val="center"/>
            </w:pPr>
            <w:r w:rsidRPr="00F816ED">
              <w:t>9.20%</w:t>
            </w:r>
          </w:p>
        </w:tc>
      </w:tr>
      <w:tr w:rsidR="00D20312" w14:paraId="186BB2D7" w14:textId="77777777" w:rsidTr="00D20312">
        <w:tc>
          <w:tcPr>
            <w:tcW w:w="1502" w:type="dxa"/>
          </w:tcPr>
          <w:p w14:paraId="009921C2" w14:textId="4CE94F21" w:rsidR="00D20312" w:rsidRDefault="00D20312">
            <w:pPr>
              <w:rPr>
                <w:b/>
                <w:bCs/>
              </w:rPr>
            </w:pPr>
            <w:r>
              <w:rPr>
                <w:b/>
                <w:bCs/>
              </w:rPr>
              <w:t>2015/16</w:t>
            </w:r>
          </w:p>
        </w:tc>
        <w:tc>
          <w:tcPr>
            <w:tcW w:w="1502" w:type="dxa"/>
          </w:tcPr>
          <w:p w14:paraId="0DB0C175" w14:textId="107118AA" w:rsidR="00D20312" w:rsidRPr="00F816ED" w:rsidRDefault="00506F45" w:rsidP="00506F45">
            <w:pPr>
              <w:jc w:val="center"/>
            </w:pPr>
            <w:r w:rsidRPr="00F816ED">
              <w:t>1.20%</w:t>
            </w:r>
          </w:p>
        </w:tc>
        <w:tc>
          <w:tcPr>
            <w:tcW w:w="1503" w:type="dxa"/>
          </w:tcPr>
          <w:p w14:paraId="50FA5EE6" w14:textId="165AB482" w:rsidR="00D20312" w:rsidRPr="00F816ED" w:rsidRDefault="005E13E4" w:rsidP="00506F45">
            <w:pPr>
              <w:jc w:val="center"/>
            </w:pPr>
            <w:r w:rsidRPr="00F816ED">
              <w:t>4.20%</w:t>
            </w:r>
          </w:p>
        </w:tc>
        <w:tc>
          <w:tcPr>
            <w:tcW w:w="1503" w:type="dxa"/>
          </w:tcPr>
          <w:p w14:paraId="30178824" w14:textId="30FCEF07" w:rsidR="00D20312" w:rsidRPr="00F816ED" w:rsidRDefault="005E13E4" w:rsidP="00506F45">
            <w:pPr>
              <w:jc w:val="center"/>
            </w:pPr>
            <w:r w:rsidRPr="00F816ED">
              <w:t>0.60%</w:t>
            </w:r>
          </w:p>
        </w:tc>
        <w:tc>
          <w:tcPr>
            <w:tcW w:w="1503" w:type="dxa"/>
          </w:tcPr>
          <w:p w14:paraId="11CEA280" w14:textId="055CA3BC" w:rsidR="00D20312" w:rsidRPr="00F816ED" w:rsidRDefault="005E13E4" w:rsidP="00506F45">
            <w:pPr>
              <w:jc w:val="center"/>
            </w:pPr>
            <w:r w:rsidRPr="00F816ED">
              <w:t>6.00%</w:t>
            </w:r>
          </w:p>
        </w:tc>
        <w:tc>
          <w:tcPr>
            <w:tcW w:w="1503" w:type="dxa"/>
          </w:tcPr>
          <w:p w14:paraId="3F3CBEAC" w14:textId="415AE770" w:rsidR="00D20312" w:rsidRPr="00F816ED" w:rsidRDefault="00F816ED" w:rsidP="00506F45">
            <w:pPr>
              <w:jc w:val="center"/>
            </w:pPr>
            <w:r w:rsidRPr="00F816ED">
              <w:t>6.30%</w:t>
            </w:r>
          </w:p>
        </w:tc>
      </w:tr>
      <w:tr w:rsidR="00D20312" w14:paraId="0C46B8B7" w14:textId="77777777" w:rsidTr="00D20312">
        <w:tc>
          <w:tcPr>
            <w:tcW w:w="1502" w:type="dxa"/>
          </w:tcPr>
          <w:p w14:paraId="77F15263" w14:textId="35451344" w:rsidR="00D20312" w:rsidRDefault="00D20312">
            <w:pPr>
              <w:rPr>
                <w:b/>
                <w:bCs/>
              </w:rPr>
            </w:pPr>
            <w:r>
              <w:rPr>
                <w:b/>
                <w:bCs/>
              </w:rPr>
              <w:t>2016/17</w:t>
            </w:r>
          </w:p>
        </w:tc>
        <w:tc>
          <w:tcPr>
            <w:tcW w:w="1502" w:type="dxa"/>
          </w:tcPr>
          <w:p w14:paraId="7FF29A06" w14:textId="56CFAFA9" w:rsidR="00D20312" w:rsidRPr="00F816ED" w:rsidRDefault="005E13E4" w:rsidP="00506F45">
            <w:pPr>
              <w:jc w:val="center"/>
            </w:pPr>
            <w:r w:rsidRPr="00F816ED">
              <w:t>1.30%</w:t>
            </w:r>
          </w:p>
        </w:tc>
        <w:tc>
          <w:tcPr>
            <w:tcW w:w="1503" w:type="dxa"/>
          </w:tcPr>
          <w:p w14:paraId="190BC4E7" w14:textId="36C85386" w:rsidR="00D20312" w:rsidRPr="00F816ED" w:rsidRDefault="005E13E4" w:rsidP="00506F45">
            <w:pPr>
              <w:jc w:val="center"/>
            </w:pPr>
            <w:r w:rsidRPr="00F816ED">
              <w:t>4.20%</w:t>
            </w:r>
          </w:p>
        </w:tc>
        <w:tc>
          <w:tcPr>
            <w:tcW w:w="1503" w:type="dxa"/>
          </w:tcPr>
          <w:p w14:paraId="738D9AF8" w14:textId="043965C5" w:rsidR="00D20312" w:rsidRPr="00F816ED" w:rsidRDefault="005E13E4" w:rsidP="00506F45">
            <w:pPr>
              <w:jc w:val="center"/>
            </w:pPr>
            <w:r w:rsidRPr="00F816ED">
              <w:t>0.60%</w:t>
            </w:r>
          </w:p>
        </w:tc>
        <w:tc>
          <w:tcPr>
            <w:tcW w:w="1503" w:type="dxa"/>
          </w:tcPr>
          <w:p w14:paraId="1A7F201F" w14:textId="6DF1A5CA" w:rsidR="00D20312" w:rsidRPr="00F816ED" w:rsidRDefault="00F816ED" w:rsidP="00506F45">
            <w:pPr>
              <w:jc w:val="center"/>
            </w:pPr>
            <w:r w:rsidRPr="00F816ED">
              <w:t>6.10%</w:t>
            </w:r>
          </w:p>
        </w:tc>
        <w:tc>
          <w:tcPr>
            <w:tcW w:w="1503" w:type="dxa"/>
          </w:tcPr>
          <w:p w14:paraId="19FFFAD7" w14:textId="15D52BA8" w:rsidR="00D20312" w:rsidRPr="00F816ED" w:rsidRDefault="00F816ED" w:rsidP="00506F45">
            <w:pPr>
              <w:jc w:val="center"/>
            </w:pPr>
            <w:r w:rsidRPr="00F816ED">
              <w:t>6.40%</w:t>
            </w:r>
          </w:p>
        </w:tc>
      </w:tr>
      <w:tr w:rsidR="00D20312" w14:paraId="001153B3" w14:textId="77777777" w:rsidTr="00D20312">
        <w:tc>
          <w:tcPr>
            <w:tcW w:w="1502" w:type="dxa"/>
          </w:tcPr>
          <w:p w14:paraId="18A8614F" w14:textId="780AC5AA" w:rsidR="00D20312" w:rsidRDefault="00D20312">
            <w:pPr>
              <w:rPr>
                <w:b/>
                <w:bCs/>
              </w:rPr>
            </w:pPr>
            <w:r>
              <w:rPr>
                <w:b/>
                <w:bCs/>
              </w:rPr>
              <w:t>2017/18</w:t>
            </w:r>
          </w:p>
        </w:tc>
        <w:tc>
          <w:tcPr>
            <w:tcW w:w="1502" w:type="dxa"/>
          </w:tcPr>
          <w:p w14:paraId="0EA9D7A0" w14:textId="592C1F20" w:rsidR="00D20312" w:rsidRPr="00F816ED" w:rsidRDefault="005E13E4" w:rsidP="00506F45">
            <w:pPr>
              <w:jc w:val="center"/>
            </w:pPr>
            <w:r w:rsidRPr="00F816ED">
              <w:t>0.20%</w:t>
            </w:r>
          </w:p>
        </w:tc>
        <w:tc>
          <w:tcPr>
            <w:tcW w:w="1503" w:type="dxa"/>
          </w:tcPr>
          <w:p w14:paraId="24C1CEA2" w14:textId="3CB673FA" w:rsidR="00D20312" w:rsidRPr="00F816ED" w:rsidRDefault="005E13E4" w:rsidP="00506F45">
            <w:pPr>
              <w:jc w:val="center"/>
            </w:pPr>
            <w:r w:rsidRPr="00F816ED">
              <w:t>4.90%</w:t>
            </w:r>
          </w:p>
        </w:tc>
        <w:tc>
          <w:tcPr>
            <w:tcW w:w="1503" w:type="dxa"/>
          </w:tcPr>
          <w:p w14:paraId="3A20F335" w14:textId="598180AA" w:rsidR="00D20312" w:rsidRPr="00F816ED" w:rsidRDefault="005E13E4" w:rsidP="00506F45">
            <w:pPr>
              <w:jc w:val="center"/>
            </w:pPr>
            <w:r w:rsidRPr="00F816ED">
              <w:t>0.90%</w:t>
            </w:r>
          </w:p>
        </w:tc>
        <w:tc>
          <w:tcPr>
            <w:tcW w:w="1503" w:type="dxa"/>
          </w:tcPr>
          <w:p w14:paraId="1D1F0BFD" w14:textId="7E87CFEA" w:rsidR="00D20312" w:rsidRPr="00F816ED" w:rsidRDefault="00F816ED" w:rsidP="00506F45">
            <w:pPr>
              <w:jc w:val="center"/>
            </w:pPr>
            <w:r w:rsidRPr="00F816ED">
              <w:t>6.00%</w:t>
            </w:r>
          </w:p>
        </w:tc>
        <w:tc>
          <w:tcPr>
            <w:tcW w:w="1503" w:type="dxa"/>
          </w:tcPr>
          <w:p w14:paraId="4B1BAEE5" w14:textId="2668B08D" w:rsidR="00D20312" w:rsidRPr="00F816ED" w:rsidRDefault="00F816ED" w:rsidP="00506F45">
            <w:pPr>
              <w:jc w:val="center"/>
            </w:pPr>
            <w:r w:rsidRPr="00F816ED">
              <w:t>6.20%</w:t>
            </w:r>
          </w:p>
        </w:tc>
      </w:tr>
      <w:tr w:rsidR="00D20312" w14:paraId="4111D719" w14:textId="77777777" w:rsidTr="00D20312">
        <w:tc>
          <w:tcPr>
            <w:tcW w:w="1502" w:type="dxa"/>
          </w:tcPr>
          <w:p w14:paraId="474FC26D" w14:textId="75C6C5DB" w:rsidR="00D20312" w:rsidRDefault="00D20312">
            <w:pPr>
              <w:rPr>
                <w:b/>
                <w:bCs/>
              </w:rPr>
            </w:pPr>
            <w:r>
              <w:rPr>
                <w:b/>
                <w:bCs/>
              </w:rPr>
              <w:t>2018/19</w:t>
            </w:r>
          </w:p>
        </w:tc>
        <w:tc>
          <w:tcPr>
            <w:tcW w:w="1502" w:type="dxa"/>
          </w:tcPr>
          <w:p w14:paraId="59E2B520" w14:textId="408AD9AE" w:rsidR="00D20312" w:rsidRPr="00F816ED" w:rsidRDefault="005E13E4" w:rsidP="00506F45">
            <w:pPr>
              <w:jc w:val="center"/>
            </w:pPr>
            <w:r w:rsidRPr="00F816ED">
              <w:t>1.10%</w:t>
            </w:r>
          </w:p>
        </w:tc>
        <w:tc>
          <w:tcPr>
            <w:tcW w:w="1503" w:type="dxa"/>
          </w:tcPr>
          <w:p w14:paraId="694B6B2F" w14:textId="76411056" w:rsidR="00D20312" w:rsidRPr="00F816ED" w:rsidRDefault="005E13E4" w:rsidP="00506F45">
            <w:pPr>
              <w:jc w:val="center"/>
            </w:pPr>
            <w:r w:rsidRPr="00F816ED">
              <w:t>5.10%</w:t>
            </w:r>
          </w:p>
        </w:tc>
        <w:tc>
          <w:tcPr>
            <w:tcW w:w="1503" w:type="dxa"/>
          </w:tcPr>
          <w:p w14:paraId="0D5BCCC2" w14:textId="05DE9A1E" w:rsidR="00D20312" w:rsidRPr="00F816ED" w:rsidRDefault="005E13E4" w:rsidP="00506F45">
            <w:pPr>
              <w:jc w:val="center"/>
            </w:pPr>
            <w:r w:rsidRPr="00F816ED">
              <w:t>1.20%</w:t>
            </w:r>
          </w:p>
        </w:tc>
        <w:tc>
          <w:tcPr>
            <w:tcW w:w="1503" w:type="dxa"/>
          </w:tcPr>
          <w:p w14:paraId="15CAEA6C" w14:textId="271E29E3" w:rsidR="00D20312" w:rsidRPr="00F816ED" w:rsidRDefault="00F816ED" w:rsidP="00506F45">
            <w:pPr>
              <w:jc w:val="center"/>
            </w:pPr>
            <w:r w:rsidRPr="00F816ED">
              <w:t>7.40%</w:t>
            </w:r>
          </w:p>
        </w:tc>
        <w:tc>
          <w:tcPr>
            <w:tcW w:w="1503" w:type="dxa"/>
          </w:tcPr>
          <w:p w14:paraId="248FF0B3" w14:textId="4D4ADF1A" w:rsidR="00D20312" w:rsidRPr="00F816ED" w:rsidRDefault="00F816ED" w:rsidP="00506F45">
            <w:pPr>
              <w:jc w:val="center"/>
            </w:pPr>
            <w:r w:rsidRPr="00F816ED">
              <w:t>7.80%</w:t>
            </w:r>
          </w:p>
        </w:tc>
      </w:tr>
    </w:tbl>
    <w:p w14:paraId="7E82C76D" w14:textId="32028A99" w:rsidR="00664A7E" w:rsidRDefault="00367D45">
      <w:pPr>
        <w:rPr>
          <w:b/>
          <w:bCs/>
        </w:rPr>
      </w:pPr>
      <w:r>
        <w:rPr>
          <w:b/>
          <w:bCs/>
        </w:rPr>
        <w:lastRenderedPageBreak/>
        <w:br/>
      </w:r>
      <w:r w:rsidR="00961864">
        <w:rPr>
          <w:noProof/>
        </w:rPr>
        <w:drawing>
          <wp:inline distT="0" distB="0" distL="0" distR="0" wp14:anchorId="0D57D06B" wp14:editId="41C2FFF5">
            <wp:extent cx="5543550" cy="3384550"/>
            <wp:effectExtent l="0" t="0" r="0" b="6350"/>
            <wp:docPr id="4" name="Chart 4">
              <a:extLst xmlns:a="http://schemas.openxmlformats.org/drawingml/2006/main">
                <a:ext uri="{FF2B5EF4-FFF2-40B4-BE49-F238E27FC236}">
                  <a16:creationId xmlns:a16="http://schemas.microsoft.com/office/drawing/2014/main" id="{3AD8A59F-DAD4-4D00-B3C1-FFB364132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8BD8F0" w14:textId="3CBE83FA" w:rsidR="00367D45" w:rsidRDefault="00367D45">
      <w:r>
        <w:t xml:space="preserve">The reasons for the drop between participation of ethnic minority students </w:t>
      </w:r>
      <w:r w:rsidR="000F150B">
        <w:t xml:space="preserve">between LLB and DPLP is explored fully within the </w:t>
      </w:r>
      <w:hyperlink r:id="rId11" w:history="1">
        <w:r w:rsidR="000F150B" w:rsidRPr="00F12E73">
          <w:rPr>
            <w:rStyle w:val="Hyperlink"/>
          </w:rPr>
          <w:t>Racial Inclusion Group’s report</w:t>
        </w:r>
      </w:hyperlink>
      <w:r w:rsidR="00F12E73">
        <w:t xml:space="preserve"> (</w:t>
      </w:r>
      <w:proofErr w:type="spellStart"/>
      <w:r w:rsidR="00F12E73">
        <w:t>pg</w:t>
      </w:r>
      <w:proofErr w:type="spellEnd"/>
      <w:r w:rsidR="00F12E73">
        <w:t xml:space="preserve"> 22)</w:t>
      </w:r>
      <w:r w:rsidR="00FA0A79">
        <w:t xml:space="preserve"> and the recommendations of chapter 1 should be considered afresh by those involved in legal education and training.</w:t>
      </w:r>
    </w:p>
    <w:p w14:paraId="73698AD2" w14:textId="5B3ADFD5" w:rsidR="00990FF0" w:rsidRPr="00367D45" w:rsidRDefault="00990FF0">
      <w:r>
        <w:t xml:space="preserve">The data suggests that the LLB </w:t>
      </w:r>
      <w:r w:rsidR="0047371E">
        <w:t>is diversifying more rapidly than the DPLP</w:t>
      </w:r>
      <w:r w:rsidR="00C95546">
        <w:t>. E</w:t>
      </w:r>
      <w:r w:rsidR="0047371E">
        <w:t xml:space="preserve">thnic minority participation went from 8.4% on the </w:t>
      </w:r>
      <w:r w:rsidR="00C95546">
        <w:t>LLB</w:t>
      </w:r>
      <w:r w:rsidR="0047371E">
        <w:t xml:space="preserve"> in </w:t>
      </w:r>
      <w:r w:rsidR="0035401F">
        <w:t>2013/14 to 12.4% in 2018/19</w:t>
      </w:r>
      <w:r w:rsidR="00F31699">
        <w:t xml:space="preserve">. The general trend is upwards. </w:t>
      </w:r>
      <w:r w:rsidR="00FA0A79">
        <w:br/>
      </w:r>
      <w:r w:rsidR="00FA0A79">
        <w:br/>
      </w:r>
      <w:r w:rsidR="00F31699">
        <w:t xml:space="preserve">The DPLP has not seen such a positive trend </w:t>
      </w:r>
      <w:r w:rsidR="000F44D4">
        <w:t xml:space="preserve">rising from 6.30% in 2013/14 to </w:t>
      </w:r>
      <w:r w:rsidR="00C95546">
        <w:t>7.80% in 2018/19).</w:t>
      </w:r>
      <w:r w:rsidR="00FA0A79">
        <w:t xml:space="preserve"> The trend has been less obviously upward and has risen and fallen during that time.</w:t>
      </w:r>
    </w:p>
    <w:p w14:paraId="6C51D023" w14:textId="563D8730" w:rsidR="00B66C1A" w:rsidRDefault="00E03822">
      <w:pPr>
        <w:rPr>
          <w:b/>
          <w:bCs/>
        </w:rPr>
      </w:pPr>
      <w:r>
        <w:rPr>
          <w:noProof/>
        </w:rPr>
        <w:lastRenderedPageBreak/>
        <w:drawing>
          <wp:inline distT="0" distB="0" distL="0" distR="0" wp14:anchorId="11781EBF" wp14:editId="5720708D">
            <wp:extent cx="5721350" cy="3733800"/>
            <wp:effectExtent l="0" t="0" r="12700" b="0"/>
            <wp:docPr id="3" name="Chart 3">
              <a:extLst xmlns:a="http://schemas.openxmlformats.org/drawingml/2006/main">
                <a:ext uri="{FF2B5EF4-FFF2-40B4-BE49-F238E27FC236}">
                  <a16:creationId xmlns:a16="http://schemas.microsoft.com/office/drawing/2014/main" id="{6F7CA9F5-2AF8-4743-801C-3D8FC4F05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01805" w14:textId="0706625E" w:rsidR="00B66C1A" w:rsidRDefault="00B66C1A">
      <w:pPr>
        <w:rPr>
          <w:b/>
          <w:bCs/>
        </w:rPr>
      </w:pPr>
    </w:p>
    <w:p w14:paraId="1AF86EDE" w14:textId="77777777" w:rsidR="00B66C1A" w:rsidRDefault="00B66C1A">
      <w:pPr>
        <w:rPr>
          <w:b/>
          <w:bCs/>
        </w:rPr>
      </w:pPr>
    </w:p>
    <w:sectPr w:rsidR="00B66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C1"/>
    <w:rsid w:val="000C66FD"/>
    <w:rsid w:val="000D4393"/>
    <w:rsid w:val="000E32EA"/>
    <w:rsid w:val="000F150B"/>
    <w:rsid w:val="000F44D4"/>
    <w:rsid w:val="001107D6"/>
    <w:rsid w:val="001545BD"/>
    <w:rsid w:val="002D272B"/>
    <w:rsid w:val="002E1908"/>
    <w:rsid w:val="00334D4B"/>
    <w:rsid w:val="0035401F"/>
    <w:rsid w:val="00367D45"/>
    <w:rsid w:val="00392BC2"/>
    <w:rsid w:val="003D6A06"/>
    <w:rsid w:val="003E4BEC"/>
    <w:rsid w:val="00423FCB"/>
    <w:rsid w:val="0047371E"/>
    <w:rsid w:val="004921F0"/>
    <w:rsid w:val="004A4CF2"/>
    <w:rsid w:val="004A6FEF"/>
    <w:rsid w:val="004E26B0"/>
    <w:rsid w:val="00506F45"/>
    <w:rsid w:val="005A49C1"/>
    <w:rsid w:val="005A4E43"/>
    <w:rsid w:val="005D56F8"/>
    <w:rsid w:val="005E13E4"/>
    <w:rsid w:val="005E563F"/>
    <w:rsid w:val="00664A7E"/>
    <w:rsid w:val="006B456C"/>
    <w:rsid w:val="006C1206"/>
    <w:rsid w:val="00715C54"/>
    <w:rsid w:val="007508DF"/>
    <w:rsid w:val="007602B1"/>
    <w:rsid w:val="00793C72"/>
    <w:rsid w:val="007F51E1"/>
    <w:rsid w:val="007F5464"/>
    <w:rsid w:val="00902CB6"/>
    <w:rsid w:val="0093025C"/>
    <w:rsid w:val="009324BE"/>
    <w:rsid w:val="00961864"/>
    <w:rsid w:val="00990FF0"/>
    <w:rsid w:val="009C3CB1"/>
    <w:rsid w:val="009E7408"/>
    <w:rsid w:val="009E7D1E"/>
    <w:rsid w:val="00A23F03"/>
    <w:rsid w:val="00AC44D4"/>
    <w:rsid w:val="00B01AFD"/>
    <w:rsid w:val="00B66C1A"/>
    <w:rsid w:val="00B9598D"/>
    <w:rsid w:val="00C40EC2"/>
    <w:rsid w:val="00C42AE2"/>
    <w:rsid w:val="00C56EAD"/>
    <w:rsid w:val="00C646EF"/>
    <w:rsid w:val="00C6606B"/>
    <w:rsid w:val="00C95546"/>
    <w:rsid w:val="00CB75D1"/>
    <w:rsid w:val="00D20312"/>
    <w:rsid w:val="00D20B9F"/>
    <w:rsid w:val="00D655C4"/>
    <w:rsid w:val="00D954AE"/>
    <w:rsid w:val="00E03822"/>
    <w:rsid w:val="00E46B50"/>
    <w:rsid w:val="00E76000"/>
    <w:rsid w:val="00EC105C"/>
    <w:rsid w:val="00F12E73"/>
    <w:rsid w:val="00F31699"/>
    <w:rsid w:val="00F33194"/>
    <w:rsid w:val="00F4349A"/>
    <w:rsid w:val="00F45175"/>
    <w:rsid w:val="00F816ED"/>
    <w:rsid w:val="00FA0A79"/>
    <w:rsid w:val="00FB5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4AB"/>
  <w15:chartTrackingRefBased/>
  <w15:docId w15:val="{61A4F78F-B7FB-442E-8785-2141CBCE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E73"/>
    <w:rPr>
      <w:color w:val="0563C1" w:themeColor="hyperlink"/>
      <w:u w:val="single"/>
    </w:rPr>
  </w:style>
  <w:style w:type="character" w:styleId="UnresolvedMention">
    <w:name w:val="Unresolved Mention"/>
    <w:basedOn w:val="DefaultParagraphFont"/>
    <w:uiPriority w:val="99"/>
    <w:semiHidden/>
    <w:unhideWhenUsed/>
    <w:rsid w:val="00F12E73"/>
    <w:rPr>
      <w:color w:val="605E5C"/>
      <w:shd w:val="clear" w:color="auto" w:fill="E1DFDD"/>
    </w:rPr>
  </w:style>
  <w:style w:type="paragraph" w:styleId="Revision">
    <w:name w:val="Revision"/>
    <w:hidden/>
    <w:uiPriority w:val="99"/>
    <w:semiHidden/>
    <w:rsid w:val="00C646EF"/>
    <w:pPr>
      <w:spacing w:after="0" w:line="240" w:lineRule="auto"/>
    </w:pPr>
  </w:style>
  <w:style w:type="character" w:styleId="CommentReference">
    <w:name w:val="annotation reference"/>
    <w:basedOn w:val="DefaultParagraphFont"/>
    <w:uiPriority w:val="99"/>
    <w:semiHidden/>
    <w:unhideWhenUsed/>
    <w:rsid w:val="00C6606B"/>
    <w:rPr>
      <w:sz w:val="16"/>
      <w:szCs w:val="16"/>
    </w:rPr>
  </w:style>
  <w:style w:type="paragraph" w:styleId="CommentText">
    <w:name w:val="annotation text"/>
    <w:basedOn w:val="Normal"/>
    <w:link w:val="CommentTextChar"/>
    <w:uiPriority w:val="99"/>
    <w:unhideWhenUsed/>
    <w:rsid w:val="00C6606B"/>
    <w:pPr>
      <w:spacing w:line="240" w:lineRule="auto"/>
    </w:pPr>
    <w:rPr>
      <w:sz w:val="20"/>
      <w:szCs w:val="20"/>
    </w:rPr>
  </w:style>
  <w:style w:type="character" w:customStyle="1" w:styleId="CommentTextChar">
    <w:name w:val="Comment Text Char"/>
    <w:basedOn w:val="DefaultParagraphFont"/>
    <w:link w:val="CommentText"/>
    <w:uiPriority w:val="99"/>
    <w:rsid w:val="00C6606B"/>
    <w:rPr>
      <w:sz w:val="20"/>
      <w:szCs w:val="20"/>
    </w:rPr>
  </w:style>
  <w:style w:type="paragraph" w:styleId="CommentSubject">
    <w:name w:val="annotation subject"/>
    <w:basedOn w:val="CommentText"/>
    <w:next w:val="CommentText"/>
    <w:link w:val="CommentSubjectChar"/>
    <w:uiPriority w:val="99"/>
    <w:semiHidden/>
    <w:unhideWhenUsed/>
    <w:rsid w:val="00C6606B"/>
    <w:rPr>
      <w:b/>
      <w:bCs/>
    </w:rPr>
  </w:style>
  <w:style w:type="character" w:customStyle="1" w:styleId="CommentSubjectChar">
    <w:name w:val="Comment Subject Char"/>
    <w:basedOn w:val="CommentTextChar"/>
    <w:link w:val="CommentSubject"/>
    <w:uiPriority w:val="99"/>
    <w:semiHidden/>
    <w:rsid w:val="00C6606B"/>
    <w:rPr>
      <w:b/>
      <w:bCs/>
      <w:sz w:val="20"/>
      <w:szCs w:val="20"/>
    </w:rPr>
  </w:style>
  <w:style w:type="character" w:styleId="Emphasis">
    <w:name w:val="Emphasis"/>
    <w:basedOn w:val="DefaultParagraphFont"/>
    <w:uiPriority w:val="20"/>
    <w:qFormat/>
    <w:rsid w:val="00D20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811">
      <w:bodyDiv w:val="1"/>
      <w:marLeft w:val="0"/>
      <w:marRight w:val="0"/>
      <w:marTop w:val="0"/>
      <w:marBottom w:val="0"/>
      <w:divBdr>
        <w:top w:val="none" w:sz="0" w:space="0" w:color="auto"/>
        <w:left w:val="none" w:sz="0" w:space="0" w:color="auto"/>
        <w:bottom w:val="none" w:sz="0" w:space="0" w:color="auto"/>
        <w:right w:val="none" w:sz="0" w:space="0" w:color="auto"/>
      </w:divBdr>
    </w:div>
    <w:div w:id="109982534">
      <w:bodyDiv w:val="1"/>
      <w:marLeft w:val="0"/>
      <w:marRight w:val="0"/>
      <w:marTop w:val="0"/>
      <w:marBottom w:val="0"/>
      <w:divBdr>
        <w:top w:val="none" w:sz="0" w:space="0" w:color="auto"/>
        <w:left w:val="none" w:sz="0" w:space="0" w:color="auto"/>
        <w:bottom w:val="none" w:sz="0" w:space="0" w:color="auto"/>
        <w:right w:val="none" w:sz="0" w:space="0" w:color="auto"/>
      </w:divBdr>
    </w:div>
    <w:div w:id="16853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scot.org.uk/media/372186/rig-full-report-january-2022.pdf" TargetMode="Externa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lawsoc20\folderredirection$\rmarrs\Documents\Degree%20Race%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lawsoc20\folderredirection$\rmarrs\Documents\Degree%20Rac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awsoc20\folderredirection$\rmarrs\Documents\Degree%20Race%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 minority participation in the LLB from 2012/13</a:t>
            </a:r>
            <a:r>
              <a:rPr lang="en-GB" baseline="0"/>
              <a:t> to 2018/19</a:t>
            </a:r>
            <a:endParaRPr lang="en-GB"/>
          </a:p>
        </c:rich>
      </c:tx>
      <c:layout>
        <c:manualLayout>
          <c:xMode val="edge"/>
          <c:yMode val="edge"/>
          <c:x val="0.10215474457674974"/>
          <c:y val="2.64150943396226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Sheet1!$B$63</c:f>
              <c:strCache>
                <c:ptCount val="1"/>
                <c:pt idx="0">
                  <c:v>Combined Black Background</c:v>
                </c:pt>
              </c:strCache>
            </c:strRef>
          </c:tx>
          <c:spPr>
            <a:ln w="28575" cap="rnd">
              <a:solidFill>
                <a:schemeClr val="accent1"/>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Sheet1!$B$64:$B$70</c:f>
              <c:numCache>
                <c:formatCode>0.00%</c:formatCode>
                <c:ptCount val="7"/>
                <c:pt idx="0">
                  <c:v>0.01</c:v>
                </c:pt>
                <c:pt idx="1">
                  <c:v>1.2E-2</c:v>
                </c:pt>
                <c:pt idx="2">
                  <c:v>4.8000000000000001E-2</c:v>
                </c:pt>
                <c:pt idx="3">
                  <c:v>1.7000000000000001E-2</c:v>
                </c:pt>
                <c:pt idx="4">
                  <c:v>1.6E-2</c:v>
                </c:pt>
                <c:pt idx="5">
                  <c:v>1.4999999999999999E-2</c:v>
                </c:pt>
                <c:pt idx="6">
                  <c:v>2.1999999999999999E-2</c:v>
                </c:pt>
              </c:numCache>
            </c:numRef>
          </c:val>
          <c:smooth val="0"/>
          <c:extLst>
            <c:ext xmlns:c16="http://schemas.microsoft.com/office/drawing/2014/chart" uri="{C3380CC4-5D6E-409C-BE32-E72D297353CC}">
              <c16:uniqueId val="{00000000-E520-46CB-B28D-AB894F9AA2AC}"/>
            </c:ext>
          </c:extLst>
        </c:ser>
        <c:ser>
          <c:idx val="1"/>
          <c:order val="1"/>
          <c:tx>
            <c:strRef>
              <c:f>Sheet1!$C$63</c:f>
              <c:strCache>
                <c:ptCount val="1"/>
                <c:pt idx="0">
                  <c:v>Combined Asian background</c:v>
                </c:pt>
              </c:strCache>
            </c:strRef>
          </c:tx>
          <c:spPr>
            <a:ln w="28575" cap="rnd">
              <a:solidFill>
                <a:schemeClr val="accent2"/>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Sheet1!$C$64:$C$70</c:f>
              <c:numCache>
                <c:formatCode>0.00%</c:formatCode>
                <c:ptCount val="7"/>
                <c:pt idx="0">
                  <c:v>4.2000000000000003E-2</c:v>
                </c:pt>
                <c:pt idx="1">
                  <c:v>5.3999999999999999E-2</c:v>
                </c:pt>
                <c:pt idx="2">
                  <c:v>4.2999999999999997E-2</c:v>
                </c:pt>
                <c:pt idx="3">
                  <c:v>6.5000000000000002E-2</c:v>
                </c:pt>
                <c:pt idx="4">
                  <c:v>6.7000000000000004E-2</c:v>
                </c:pt>
                <c:pt idx="5">
                  <c:v>7.2000000000000008E-2</c:v>
                </c:pt>
                <c:pt idx="6">
                  <c:v>7.1999999999999995E-2</c:v>
                </c:pt>
              </c:numCache>
            </c:numRef>
          </c:val>
          <c:smooth val="0"/>
          <c:extLst>
            <c:ext xmlns:c16="http://schemas.microsoft.com/office/drawing/2014/chart" uri="{C3380CC4-5D6E-409C-BE32-E72D297353CC}">
              <c16:uniqueId val="{00000001-E520-46CB-B28D-AB894F9AA2AC}"/>
            </c:ext>
          </c:extLst>
        </c:ser>
        <c:ser>
          <c:idx val="2"/>
          <c:order val="2"/>
          <c:tx>
            <c:strRef>
              <c:f>Sheet1!$D$63</c:f>
              <c:strCache>
                <c:ptCount val="1"/>
                <c:pt idx="0">
                  <c:v>Mixed or multiple ethnic groups</c:v>
                </c:pt>
              </c:strCache>
            </c:strRef>
          </c:tx>
          <c:spPr>
            <a:ln w="28575" cap="rnd">
              <a:solidFill>
                <a:schemeClr val="accent3"/>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Sheet1!$D$64:$D$70</c:f>
              <c:numCache>
                <c:formatCode>0.00%</c:formatCode>
                <c:ptCount val="7"/>
                <c:pt idx="0">
                  <c:v>1.0999999999999999E-2</c:v>
                </c:pt>
                <c:pt idx="1">
                  <c:v>1.7999999999999999E-2</c:v>
                </c:pt>
                <c:pt idx="2">
                  <c:v>1.7999999999999999E-2</c:v>
                </c:pt>
                <c:pt idx="3">
                  <c:v>2.5999999999999999E-2</c:v>
                </c:pt>
                <c:pt idx="4">
                  <c:v>2.5999999999999999E-2</c:v>
                </c:pt>
                <c:pt idx="5">
                  <c:v>2.8000000000000001E-2</c:v>
                </c:pt>
                <c:pt idx="6">
                  <c:v>0.03</c:v>
                </c:pt>
              </c:numCache>
            </c:numRef>
          </c:val>
          <c:smooth val="0"/>
          <c:extLst>
            <c:ext xmlns:c16="http://schemas.microsoft.com/office/drawing/2014/chart" uri="{C3380CC4-5D6E-409C-BE32-E72D297353CC}">
              <c16:uniqueId val="{00000002-E520-46CB-B28D-AB894F9AA2AC}"/>
            </c:ext>
          </c:extLst>
        </c:ser>
        <c:ser>
          <c:idx val="3"/>
          <c:order val="3"/>
          <c:tx>
            <c:strRef>
              <c:f>Sheet1!$E$63</c:f>
              <c:strCache>
                <c:ptCount val="1"/>
                <c:pt idx="0">
                  <c:v>Other</c:v>
                </c:pt>
              </c:strCache>
            </c:strRef>
          </c:tx>
          <c:spPr>
            <a:ln w="28575" cap="rnd">
              <a:solidFill>
                <a:schemeClr val="accent4"/>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Sheet1!$E$64:$E$70</c:f>
              <c:numCache>
                <c:formatCode>0.00%</c:formatCode>
                <c:ptCount val="7"/>
                <c:pt idx="0">
                  <c:v>8.9999999999999993E-3</c:v>
                </c:pt>
                <c:pt idx="1">
                  <c:v>5.0000000000000001E-3</c:v>
                </c:pt>
                <c:pt idx="2">
                  <c:v>1.0999999999999999E-2</c:v>
                </c:pt>
                <c:pt idx="3">
                  <c:v>6.0000000000000001E-3</c:v>
                </c:pt>
                <c:pt idx="4">
                  <c:v>1.4E-2</c:v>
                </c:pt>
                <c:pt idx="5">
                  <c:v>1.4E-2</c:v>
                </c:pt>
                <c:pt idx="6">
                  <c:v>1.6E-2</c:v>
                </c:pt>
              </c:numCache>
            </c:numRef>
          </c:val>
          <c:smooth val="0"/>
          <c:extLst>
            <c:ext xmlns:c16="http://schemas.microsoft.com/office/drawing/2014/chart" uri="{C3380CC4-5D6E-409C-BE32-E72D297353CC}">
              <c16:uniqueId val="{00000003-E520-46CB-B28D-AB894F9AA2AC}"/>
            </c:ext>
          </c:extLst>
        </c:ser>
        <c:ser>
          <c:idx val="4"/>
          <c:order val="4"/>
          <c:tx>
            <c:strRef>
              <c:f>Sheet1!$F$63</c:f>
              <c:strCache>
                <c:ptCount val="1"/>
                <c:pt idx="0">
                  <c:v>Ethnic minority background combined (excluding ''Other'')</c:v>
                </c:pt>
              </c:strCache>
            </c:strRef>
          </c:tx>
          <c:spPr>
            <a:ln w="28575" cap="rnd">
              <a:solidFill>
                <a:schemeClr val="accent5"/>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Sheet1!$F$64:$F$70</c:f>
              <c:numCache>
                <c:formatCode>0.00%</c:formatCode>
                <c:ptCount val="7"/>
                <c:pt idx="0">
                  <c:v>6.3E-2</c:v>
                </c:pt>
                <c:pt idx="1">
                  <c:v>8.4000000000000005E-2</c:v>
                </c:pt>
                <c:pt idx="2">
                  <c:v>0.109</c:v>
                </c:pt>
                <c:pt idx="3">
                  <c:v>0.108</c:v>
                </c:pt>
                <c:pt idx="4">
                  <c:v>0.109</c:v>
                </c:pt>
                <c:pt idx="5">
                  <c:v>0.115</c:v>
                </c:pt>
                <c:pt idx="6">
                  <c:v>0.124</c:v>
                </c:pt>
              </c:numCache>
            </c:numRef>
          </c:val>
          <c:smooth val="0"/>
          <c:extLst>
            <c:ext xmlns:c16="http://schemas.microsoft.com/office/drawing/2014/chart" uri="{C3380CC4-5D6E-409C-BE32-E72D297353CC}">
              <c16:uniqueId val="{00000004-E520-46CB-B28D-AB894F9AA2AC}"/>
            </c:ext>
          </c:extLst>
        </c:ser>
        <c:ser>
          <c:idx val="5"/>
          <c:order val="5"/>
          <c:tx>
            <c:strRef>
              <c:f>Sheet1!$G$63</c:f>
              <c:strCache>
                <c:ptCount val="1"/>
                <c:pt idx="0">
                  <c:v>Ethnic minority background combined (including 'Other')</c:v>
                </c:pt>
              </c:strCache>
            </c:strRef>
          </c:tx>
          <c:spPr>
            <a:ln w="28575" cap="rnd">
              <a:solidFill>
                <a:schemeClr val="accent6"/>
              </a:solidFill>
              <a:round/>
            </a:ln>
            <a:effectLst/>
          </c:spPr>
          <c:marker>
            <c:symbol val="none"/>
          </c:marker>
          <c:cat>
            <c:strRef>
              <c:f>Sheet1!$A$64:$A$70</c:f>
              <c:strCache>
                <c:ptCount val="7"/>
                <c:pt idx="0">
                  <c:v>2012/13</c:v>
                </c:pt>
                <c:pt idx="1">
                  <c:v>2013/14</c:v>
                </c:pt>
                <c:pt idx="2">
                  <c:v>2014/15</c:v>
                </c:pt>
                <c:pt idx="3">
                  <c:v>2015/16</c:v>
                </c:pt>
                <c:pt idx="4">
                  <c:v>2016/17</c:v>
                </c:pt>
                <c:pt idx="5">
                  <c:v>2017/18</c:v>
                </c:pt>
                <c:pt idx="6">
                  <c:v>2018/19</c:v>
                </c:pt>
              </c:strCache>
            </c:strRef>
          </c:cat>
          <c:val>
            <c:numRef>
              <c:f>Sheet1!$G$64:$G$70</c:f>
              <c:numCache>
                <c:formatCode>0.00%</c:formatCode>
                <c:ptCount val="7"/>
                <c:pt idx="0">
                  <c:v>7.1999999999999995E-2</c:v>
                </c:pt>
                <c:pt idx="1">
                  <c:v>8.900000000000001E-2</c:v>
                </c:pt>
                <c:pt idx="2">
                  <c:v>0.12</c:v>
                </c:pt>
                <c:pt idx="3">
                  <c:v>0.114</c:v>
                </c:pt>
                <c:pt idx="4">
                  <c:v>0.123</c:v>
                </c:pt>
                <c:pt idx="5">
                  <c:v>0.129</c:v>
                </c:pt>
                <c:pt idx="6">
                  <c:v>0.14000000000000001</c:v>
                </c:pt>
              </c:numCache>
            </c:numRef>
          </c:val>
          <c:smooth val="0"/>
          <c:extLst>
            <c:ext xmlns:c16="http://schemas.microsoft.com/office/drawing/2014/chart" uri="{C3380CC4-5D6E-409C-BE32-E72D297353CC}">
              <c16:uniqueId val="{00000005-E520-46CB-B28D-AB894F9AA2AC}"/>
            </c:ext>
          </c:extLst>
        </c:ser>
        <c:dLbls>
          <c:showLegendKey val="0"/>
          <c:showVal val="0"/>
          <c:showCatName val="0"/>
          <c:showSerName val="0"/>
          <c:showPercent val="0"/>
          <c:showBubbleSize val="0"/>
        </c:dLbls>
        <c:smooth val="0"/>
        <c:axId val="611029808"/>
        <c:axId val="611030136"/>
      </c:lineChart>
      <c:catAx>
        <c:axId val="61102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030136"/>
        <c:crosses val="autoZero"/>
        <c:auto val="1"/>
        <c:lblAlgn val="ctr"/>
        <c:lblOffset val="100"/>
        <c:noMultiLvlLbl val="0"/>
      </c:catAx>
      <c:valAx>
        <c:axId val="611030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02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 minority participation in the DPLP since 2013/14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Sheet2!$B$102</c:f>
              <c:strCache>
                <c:ptCount val="1"/>
                <c:pt idx="0">
                  <c:v>Combined Black Background</c:v>
                </c:pt>
              </c:strCache>
            </c:strRef>
          </c:tx>
          <c:spPr>
            <a:ln w="28575" cap="rnd">
              <a:solidFill>
                <a:schemeClr val="accent1"/>
              </a:solidFill>
              <a:round/>
            </a:ln>
            <a:effectLst/>
          </c:spPr>
          <c:marker>
            <c:symbol val="none"/>
          </c:marker>
          <c:cat>
            <c:strRef>
              <c:f>Sheet2!$A$103:$A$108</c:f>
              <c:strCache>
                <c:ptCount val="6"/>
                <c:pt idx="0">
                  <c:v>2013/14</c:v>
                </c:pt>
                <c:pt idx="1">
                  <c:v>2014/15</c:v>
                </c:pt>
                <c:pt idx="2">
                  <c:v>2015/16</c:v>
                </c:pt>
                <c:pt idx="3">
                  <c:v>2016/17</c:v>
                </c:pt>
                <c:pt idx="4">
                  <c:v>2017/18</c:v>
                </c:pt>
                <c:pt idx="5">
                  <c:v>2018/19</c:v>
                </c:pt>
              </c:strCache>
            </c:strRef>
          </c:cat>
          <c:val>
            <c:numRef>
              <c:f>Sheet2!$B$103:$B$108</c:f>
              <c:numCache>
                <c:formatCode>0.00%</c:formatCode>
                <c:ptCount val="6"/>
                <c:pt idx="0">
                  <c:v>8.9999999999999993E-3</c:v>
                </c:pt>
                <c:pt idx="1">
                  <c:v>3.0000000000000001E-3</c:v>
                </c:pt>
                <c:pt idx="2">
                  <c:v>1.2E-2</c:v>
                </c:pt>
                <c:pt idx="3">
                  <c:v>1.2999999999999999E-2</c:v>
                </c:pt>
                <c:pt idx="4">
                  <c:v>2E-3</c:v>
                </c:pt>
                <c:pt idx="5">
                  <c:v>1.0999999999999999E-2</c:v>
                </c:pt>
              </c:numCache>
            </c:numRef>
          </c:val>
          <c:smooth val="0"/>
          <c:extLst>
            <c:ext xmlns:c16="http://schemas.microsoft.com/office/drawing/2014/chart" uri="{C3380CC4-5D6E-409C-BE32-E72D297353CC}">
              <c16:uniqueId val="{00000000-6BB4-4FDE-874E-AF6747676D8E}"/>
            </c:ext>
          </c:extLst>
        </c:ser>
        <c:ser>
          <c:idx val="1"/>
          <c:order val="1"/>
          <c:tx>
            <c:strRef>
              <c:f>Sheet2!$C$102</c:f>
              <c:strCache>
                <c:ptCount val="1"/>
                <c:pt idx="0">
                  <c:v>Combined Asian background</c:v>
                </c:pt>
              </c:strCache>
            </c:strRef>
          </c:tx>
          <c:spPr>
            <a:ln w="28575" cap="rnd">
              <a:solidFill>
                <a:schemeClr val="accent2"/>
              </a:solidFill>
              <a:round/>
            </a:ln>
            <a:effectLst/>
          </c:spPr>
          <c:marker>
            <c:symbol val="none"/>
          </c:marker>
          <c:cat>
            <c:strRef>
              <c:f>Sheet2!$A$103:$A$108</c:f>
              <c:strCache>
                <c:ptCount val="6"/>
                <c:pt idx="0">
                  <c:v>2013/14</c:v>
                </c:pt>
                <c:pt idx="1">
                  <c:v>2014/15</c:v>
                </c:pt>
                <c:pt idx="2">
                  <c:v>2015/16</c:v>
                </c:pt>
                <c:pt idx="3">
                  <c:v>2016/17</c:v>
                </c:pt>
                <c:pt idx="4">
                  <c:v>2017/18</c:v>
                </c:pt>
                <c:pt idx="5">
                  <c:v>2018/19</c:v>
                </c:pt>
              </c:strCache>
            </c:strRef>
          </c:cat>
          <c:val>
            <c:numRef>
              <c:f>Sheet2!$C$103:$C$108</c:f>
              <c:numCache>
                <c:formatCode>0.00%</c:formatCode>
                <c:ptCount val="6"/>
                <c:pt idx="0">
                  <c:v>4.9000000000000002E-2</c:v>
                </c:pt>
                <c:pt idx="1">
                  <c:v>6.5000000000000002E-2</c:v>
                </c:pt>
                <c:pt idx="2">
                  <c:v>4.2000000000000003E-2</c:v>
                </c:pt>
                <c:pt idx="3">
                  <c:v>4.2000000000000003E-2</c:v>
                </c:pt>
                <c:pt idx="4">
                  <c:v>4.9000000000000002E-2</c:v>
                </c:pt>
                <c:pt idx="5">
                  <c:v>5.0999999999999997E-2</c:v>
                </c:pt>
              </c:numCache>
            </c:numRef>
          </c:val>
          <c:smooth val="0"/>
          <c:extLst>
            <c:ext xmlns:c16="http://schemas.microsoft.com/office/drawing/2014/chart" uri="{C3380CC4-5D6E-409C-BE32-E72D297353CC}">
              <c16:uniqueId val="{00000001-6BB4-4FDE-874E-AF6747676D8E}"/>
            </c:ext>
          </c:extLst>
        </c:ser>
        <c:ser>
          <c:idx val="2"/>
          <c:order val="2"/>
          <c:tx>
            <c:strRef>
              <c:f>Sheet2!$D$102</c:f>
              <c:strCache>
                <c:ptCount val="1"/>
                <c:pt idx="0">
                  <c:v>Mixed or multiple ethnic groups</c:v>
                </c:pt>
              </c:strCache>
            </c:strRef>
          </c:tx>
          <c:spPr>
            <a:ln w="28575" cap="rnd">
              <a:solidFill>
                <a:schemeClr val="accent3"/>
              </a:solidFill>
              <a:round/>
            </a:ln>
            <a:effectLst/>
          </c:spPr>
          <c:marker>
            <c:symbol val="none"/>
          </c:marker>
          <c:cat>
            <c:strRef>
              <c:f>Sheet2!$A$103:$A$108</c:f>
              <c:strCache>
                <c:ptCount val="6"/>
                <c:pt idx="0">
                  <c:v>2013/14</c:v>
                </c:pt>
                <c:pt idx="1">
                  <c:v>2014/15</c:v>
                </c:pt>
                <c:pt idx="2">
                  <c:v>2015/16</c:v>
                </c:pt>
                <c:pt idx="3">
                  <c:v>2016/17</c:v>
                </c:pt>
                <c:pt idx="4">
                  <c:v>2017/18</c:v>
                </c:pt>
                <c:pt idx="5">
                  <c:v>2018/19</c:v>
                </c:pt>
              </c:strCache>
            </c:strRef>
          </c:cat>
          <c:val>
            <c:numRef>
              <c:f>Sheet2!$D$103:$D$108</c:f>
              <c:numCache>
                <c:formatCode>0.00%</c:formatCode>
                <c:ptCount val="6"/>
                <c:pt idx="0">
                  <c:v>5.0000000000000001E-3</c:v>
                </c:pt>
                <c:pt idx="1">
                  <c:v>1.7000000000000001E-2</c:v>
                </c:pt>
                <c:pt idx="2">
                  <c:v>6.0000000000000001E-3</c:v>
                </c:pt>
                <c:pt idx="3">
                  <c:v>6.0000000000000001E-3</c:v>
                </c:pt>
                <c:pt idx="4">
                  <c:v>8.9999999999999993E-3</c:v>
                </c:pt>
                <c:pt idx="5">
                  <c:v>1.2E-2</c:v>
                </c:pt>
              </c:numCache>
            </c:numRef>
          </c:val>
          <c:smooth val="0"/>
          <c:extLst>
            <c:ext xmlns:c16="http://schemas.microsoft.com/office/drawing/2014/chart" uri="{C3380CC4-5D6E-409C-BE32-E72D297353CC}">
              <c16:uniqueId val="{00000002-6BB4-4FDE-874E-AF6747676D8E}"/>
            </c:ext>
          </c:extLst>
        </c:ser>
        <c:ser>
          <c:idx val="3"/>
          <c:order val="3"/>
          <c:tx>
            <c:strRef>
              <c:f>Sheet2!$E$102</c:f>
              <c:strCache>
                <c:ptCount val="1"/>
                <c:pt idx="0">
                  <c:v>Ethnic minority background combined (excluding ''Other'')</c:v>
                </c:pt>
              </c:strCache>
            </c:strRef>
          </c:tx>
          <c:spPr>
            <a:ln w="28575" cap="rnd">
              <a:solidFill>
                <a:schemeClr val="accent4"/>
              </a:solidFill>
              <a:round/>
            </a:ln>
            <a:effectLst/>
          </c:spPr>
          <c:marker>
            <c:symbol val="none"/>
          </c:marker>
          <c:cat>
            <c:strRef>
              <c:f>Sheet2!$A$103:$A$108</c:f>
              <c:strCache>
                <c:ptCount val="6"/>
                <c:pt idx="0">
                  <c:v>2013/14</c:v>
                </c:pt>
                <c:pt idx="1">
                  <c:v>2014/15</c:v>
                </c:pt>
                <c:pt idx="2">
                  <c:v>2015/16</c:v>
                </c:pt>
                <c:pt idx="3">
                  <c:v>2016/17</c:v>
                </c:pt>
                <c:pt idx="4">
                  <c:v>2017/18</c:v>
                </c:pt>
                <c:pt idx="5">
                  <c:v>2018/19</c:v>
                </c:pt>
              </c:strCache>
            </c:strRef>
          </c:cat>
          <c:val>
            <c:numRef>
              <c:f>Sheet2!$E$103:$E$108</c:f>
              <c:numCache>
                <c:formatCode>0.00%</c:formatCode>
                <c:ptCount val="6"/>
                <c:pt idx="0">
                  <c:v>6.3E-2</c:v>
                </c:pt>
                <c:pt idx="1">
                  <c:v>8.5000000000000006E-2</c:v>
                </c:pt>
                <c:pt idx="2">
                  <c:v>6.0000000000000005E-2</c:v>
                </c:pt>
                <c:pt idx="3">
                  <c:v>6.0999999999999999E-2</c:v>
                </c:pt>
                <c:pt idx="4">
                  <c:v>6.0000000000000005E-2</c:v>
                </c:pt>
                <c:pt idx="5">
                  <c:v>7.3999999999999996E-2</c:v>
                </c:pt>
              </c:numCache>
            </c:numRef>
          </c:val>
          <c:smooth val="0"/>
          <c:extLst>
            <c:ext xmlns:c16="http://schemas.microsoft.com/office/drawing/2014/chart" uri="{C3380CC4-5D6E-409C-BE32-E72D297353CC}">
              <c16:uniqueId val="{00000003-6BB4-4FDE-874E-AF6747676D8E}"/>
            </c:ext>
          </c:extLst>
        </c:ser>
        <c:ser>
          <c:idx val="4"/>
          <c:order val="4"/>
          <c:tx>
            <c:strRef>
              <c:f>Sheet2!$F$102</c:f>
              <c:strCache>
                <c:ptCount val="1"/>
                <c:pt idx="0">
                  <c:v>Ethnic minority background combined (including 'Other')</c:v>
                </c:pt>
              </c:strCache>
            </c:strRef>
          </c:tx>
          <c:spPr>
            <a:ln w="28575" cap="rnd">
              <a:solidFill>
                <a:schemeClr val="accent5"/>
              </a:solidFill>
              <a:round/>
            </a:ln>
            <a:effectLst/>
          </c:spPr>
          <c:marker>
            <c:symbol val="none"/>
          </c:marker>
          <c:cat>
            <c:strRef>
              <c:f>Sheet2!$A$103:$A$108</c:f>
              <c:strCache>
                <c:ptCount val="6"/>
                <c:pt idx="0">
                  <c:v>2013/14</c:v>
                </c:pt>
                <c:pt idx="1">
                  <c:v>2014/15</c:v>
                </c:pt>
                <c:pt idx="2">
                  <c:v>2015/16</c:v>
                </c:pt>
                <c:pt idx="3">
                  <c:v>2016/17</c:v>
                </c:pt>
                <c:pt idx="4">
                  <c:v>2017/18</c:v>
                </c:pt>
                <c:pt idx="5">
                  <c:v>2018/19</c:v>
                </c:pt>
              </c:strCache>
            </c:strRef>
          </c:cat>
          <c:val>
            <c:numRef>
              <c:f>Sheet2!$F$103:$F$108</c:f>
              <c:numCache>
                <c:formatCode>0.00%</c:formatCode>
                <c:ptCount val="6"/>
                <c:pt idx="0">
                  <c:v>6.3E-2</c:v>
                </c:pt>
                <c:pt idx="1">
                  <c:v>9.1999999999999998E-2</c:v>
                </c:pt>
                <c:pt idx="2">
                  <c:v>6.3E-2</c:v>
                </c:pt>
                <c:pt idx="3">
                  <c:v>6.4000000000000001E-2</c:v>
                </c:pt>
                <c:pt idx="4">
                  <c:v>6.2E-2</c:v>
                </c:pt>
                <c:pt idx="5">
                  <c:v>7.8E-2</c:v>
                </c:pt>
              </c:numCache>
            </c:numRef>
          </c:val>
          <c:smooth val="0"/>
          <c:extLst>
            <c:ext xmlns:c16="http://schemas.microsoft.com/office/drawing/2014/chart" uri="{C3380CC4-5D6E-409C-BE32-E72D297353CC}">
              <c16:uniqueId val="{00000004-6BB4-4FDE-874E-AF6747676D8E}"/>
            </c:ext>
          </c:extLst>
        </c:ser>
        <c:dLbls>
          <c:showLegendKey val="0"/>
          <c:showVal val="0"/>
          <c:showCatName val="0"/>
          <c:showSerName val="0"/>
          <c:showPercent val="0"/>
          <c:showBubbleSize val="0"/>
        </c:dLbls>
        <c:smooth val="0"/>
        <c:axId val="709235584"/>
        <c:axId val="709228696"/>
      </c:lineChart>
      <c:catAx>
        <c:axId val="70923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228696"/>
        <c:crosses val="autoZero"/>
        <c:auto val="1"/>
        <c:lblAlgn val="ctr"/>
        <c:lblOffset val="100"/>
        <c:noMultiLvlLbl val="0"/>
      </c:catAx>
      <c:valAx>
        <c:axId val="7092286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23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LLB vs DPLP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Sheet1!$D$78</c:f>
              <c:strCache>
                <c:ptCount val="1"/>
                <c:pt idx="0">
                  <c:v>LLB Ethnic minority background combined (excluding ''Other'')</c:v>
                </c:pt>
              </c:strCache>
            </c:strRef>
          </c:tx>
          <c:spPr>
            <a:ln w="28575" cap="rnd">
              <a:solidFill>
                <a:schemeClr val="accent1"/>
              </a:solidFill>
              <a:round/>
            </a:ln>
            <a:effectLst/>
          </c:spPr>
          <c:marker>
            <c:symbol val="none"/>
          </c:marker>
          <c:cat>
            <c:strRef>
              <c:f>Sheet1!$C$79:$C$84</c:f>
              <c:strCache>
                <c:ptCount val="6"/>
                <c:pt idx="0">
                  <c:v>2013/14</c:v>
                </c:pt>
                <c:pt idx="1">
                  <c:v>2014/15</c:v>
                </c:pt>
                <c:pt idx="2">
                  <c:v>2015/16</c:v>
                </c:pt>
                <c:pt idx="3">
                  <c:v>2016/17</c:v>
                </c:pt>
                <c:pt idx="4">
                  <c:v>2017/18</c:v>
                </c:pt>
                <c:pt idx="5">
                  <c:v>2018/19</c:v>
                </c:pt>
              </c:strCache>
            </c:strRef>
          </c:cat>
          <c:val>
            <c:numRef>
              <c:f>Sheet1!$D$79:$D$84</c:f>
              <c:numCache>
                <c:formatCode>0.00%</c:formatCode>
                <c:ptCount val="6"/>
                <c:pt idx="0">
                  <c:v>8.4000000000000005E-2</c:v>
                </c:pt>
                <c:pt idx="1">
                  <c:v>0.109</c:v>
                </c:pt>
                <c:pt idx="2">
                  <c:v>0.108</c:v>
                </c:pt>
                <c:pt idx="3">
                  <c:v>0.109</c:v>
                </c:pt>
                <c:pt idx="4">
                  <c:v>0.115</c:v>
                </c:pt>
                <c:pt idx="5">
                  <c:v>0.124</c:v>
                </c:pt>
              </c:numCache>
            </c:numRef>
          </c:val>
          <c:smooth val="0"/>
          <c:extLst>
            <c:ext xmlns:c16="http://schemas.microsoft.com/office/drawing/2014/chart" uri="{C3380CC4-5D6E-409C-BE32-E72D297353CC}">
              <c16:uniqueId val="{00000000-E632-4770-B4CD-557F93B50C59}"/>
            </c:ext>
          </c:extLst>
        </c:ser>
        <c:ser>
          <c:idx val="1"/>
          <c:order val="1"/>
          <c:tx>
            <c:strRef>
              <c:f>Sheet1!$E$78</c:f>
              <c:strCache>
                <c:ptCount val="1"/>
                <c:pt idx="0">
                  <c:v>LLB Ethnic minority background combined (including 'Other')</c:v>
                </c:pt>
              </c:strCache>
            </c:strRef>
          </c:tx>
          <c:spPr>
            <a:ln w="28575" cap="rnd">
              <a:solidFill>
                <a:schemeClr val="accent2"/>
              </a:solidFill>
              <a:round/>
            </a:ln>
            <a:effectLst/>
          </c:spPr>
          <c:marker>
            <c:symbol val="none"/>
          </c:marker>
          <c:cat>
            <c:strRef>
              <c:f>Sheet1!$C$79:$C$84</c:f>
              <c:strCache>
                <c:ptCount val="6"/>
                <c:pt idx="0">
                  <c:v>2013/14</c:v>
                </c:pt>
                <c:pt idx="1">
                  <c:v>2014/15</c:v>
                </c:pt>
                <c:pt idx="2">
                  <c:v>2015/16</c:v>
                </c:pt>
                <c:pt idx="3">
                  <c:v>2016/17</c:v>
                </c:pt>
                <c:pt idx="4">
                  <c:v>2017/18</c:v>
                </c:pt>
                <c:pt idx="5">
                  <c:v>2018/19</c:v>
                </c:pt>
              </c:strCache>
            </c:strRef>
          </c:cat>
          <c:val>
            <c:numRef>
              <c:f>Sheet1!$E$79:$E$84</c:f>
              <c:numCache>
                <c:formatCode>0.00%</c:formatCode>
                <c:ptCount val="6"/>
                <c:pt idx="0">
                  <c:v>8.8999999999999996E-2</c:v>
                </c:pt>
                <c:pt idx="1">
                  <c:v>0.12</c:v>
                </c:pt>
                <c:pt idx="2">
                  <c:v>0.114</c:v>
                </c:pt>
                <c:pt idx="3">
                  <c:v>0.123</c:v>
                </c:pt>
                <c:pt idx="4">
                  <c:v>0.129</c:v>
                </c:pt>
                <c:pt idx="5">
                  <c:v>0.14000000000000001</c:v>
                </c:pt>
              </c:numCache>
            </c:numRef>
          </c:val>
          <c:smooth val="0"/>
          <c:extLst>
            <c:ext xmlns:c16="http://schemas.microsoft.com/office/drawing/2014/chart" uri="{C3380CC4-5D6E-409C-BE32-E72D297353CC}">
              <c16:uniqueId val="{00000001-E632-4770-B4CD-557F93B50C59}"/>
            </c:ext>
          </c:extLst>
        </c:ser>
        <c:ser>
          <c:idx val="2"/>
          <c:order val="2"/>
          <c:tx>
            <c:strRef>
              <c:f>Sheet1!$F$78</c:f>
              <c:strCache>
                <c:ptCount val="1"/>
                <c:pt idx="0">
                  <c:v>DPLP ethnic minority background (excluding other)</c:v>
                </c:pt>
              </c:strCache>
            </c:strRef>
          </c:tx>
          <c:spPr>
            <a:ln w="28575" cap="rnd">
              <a:solidFill>
                <a:schemeClr val="accent3"/>
              </a:solidFill>
              <a:round/>
            </a:ln>
            <a:effectLst/>
          </c:spPr>
          <c:marker>
            <c:symbol val="none"/>
          </c:marker>
          <c:cat>
            <c:strRef>
              <c:f>Sheet1!$C$79:$C$84</c:f>
              <c:strCache>
                <c:ptCount val="6"/>
                <c:pt idx="0">
                  <c:v>2013/14</c:v>
                </c:pt>
                <c:pt idx="1">
                  <c:v>2014/15</c:v>
                </c:pt>
                <c:pt idx="2">
                  <c:v>2015/16</c:v>
                </c:pt>
                <c:pt idx="3">
                  <c:v>2016/17</c:v>
                </c:pt>
                <c:pt idx="4">
                  <c:v>2017/18</c:v>
                </c:pt>
                <c:pt idx="5">
                  <c:v>2018/19</c:v>
                </c:pt>
              </c:strCache>
            </c:strRef>
          </c:cat>
          <c:val>
            <c:numRef>
              <c:f>Sheet1!$F$79:$F$84</c:f>
              <c:numCache>
                <c:formatCode>0.00%</c:formatCode>
                <c:ptCount val="6"/>
                <c:pt idx="0">
                  <c:v>6.3E-2</c:v>
                </c:pt>
                <c:pt idx="1">
                  <c:v>8.5000000000000006E-2</c:v>
                </c:pt>
                <c:pt idx="2">
                  <c:v>0.06</c:v>
                </c:pt>
                <c:pt idx="3">
                  <c:v>6.0999999999999999E-2</c:v>
                </c:pt>
                <c:pt idx="4">
                  <c:v>0.06</c:v>
                </c:pt>
                <c:pt idx="5">
                  <c:v>7.3999999999999996E-2</c:v>
                </c:pt>
              </c:numCache>
            </c:numRef>
          </c:val>
          <c:smooth val="0"/>
          <c:extLst>
            <c:ext xmlns:c16="http://schemas.microsoft.com/office/drawing/2014/chart" uri="{C3380CC4-5D6E-409C-BE32-E72D297353CC}">
              <c16:uniqueId val="{00000002-E632-4770-B4CD-557F93B50C59}"/>
            </c:ext>
          </c:extLst>
        </c:ser>
        <c:ser>
          <c:idx val="3"/>
          <c:order val="3"/>
          <c:tx>
            <c:strRef>
              <c:f>Sheet1!$G$78</c:f>
              <c:strCache>
                <c:ptCount val="1"/>
                <c:pt idx="0">
                  <c:v>DPLP ethnic minority backgorund combined (including other)</c:v>
                </c:pt>
              </c:strCache>
            </c:strRef>
          </c:tx>
          <c:spPr>
            <a:ln w="28575" cap="rnd">
              <a:solidFill>
                <a:schemeClr val="accent4"/>
              </a:solidFill>
              <a:round/>
            </a:ln>
            <a:effectLst/>
          </c:spPr>
          <c:marker>
            <c:symbol val="none"/>
          </c:marker>
          <c:cat>
            <c:strRef>
              <c:f>Sheet1!$C$79:$C$84</c:f>
              <c:strCache>
                <c:ptCount val="6"/>
                <c:pt idx="0">
                  <c:v>2013/14</c:v>
                </c:pt>
                <c:pt idx="1">
                  <c:v>2014/15</c:v>
                </c:pt>
                <c:pt idx="2">
                  <c:v>2015/16</c:v>
                </c:pt>
                <c:pt idx="3">
                  <c:v>2016/17</c:v>
                </c:pt>
                <c:pt idx="4">
                  <c:v>2017/18</c:v>
                </c:pt>
                <c:pt idx="5">
                  <c:v>2018/19</c:v>
                </c:pt>
              </c:strCache>
            </c:strRef>
          </c:cat>
          <c:val>
            <c:numRef>
              <c:f>Sheet1!$G$79:$G$84</c:f>
              <c:numCache>
                <c:formatCode>0.00%</c:formatCode>
                <c:ptCount val="6"/>
                <c:pt idx="0">
                  <c:v>6.3E-2</c:v>
                </c:pt>
                <c:pt idx="1">
                  <c:v>9.1999999999999998E-2</c:v>
                </c:pt>
                <c:pt idx="2">
                  <c:v>6.3E-2</c:v>
                </c:pt>
                <c:pt idx="3">
                  <c:v>6.4000000000000001E-2</c:v>
                </c:pt>
                <c:pt idx="4">
                  <c:v>6.2E-2</c:v>
                </c:pt>
                <c:pt idx="5">
                  <c:v>7.8E-2</c:v>
                </c:pt>
              </c:numCache>
            </c:numRef>
          </c:val>
          <c:smooth val="0"/>
          <c:extLst>
            <c:ext xmlns:c16="http://schemas.microsoft.com/office/drawing/2014/chart" uri="{C3380CC4-5D6E-409C-BE32-E72D297353CC}">
              <c16:uniqueId val="{00000003-E632-4770-B4CD-557F93B50C59}"/>
            </c:ext>
          </c:extLst>
        </c:ser>
        <c:dLbls>
          <c:showLegendKey val="0"/>
          <c:showVal val="0"/>
          <c:showCatName val="0"/>
          <c:showSerName val="0"/>
          <c:showPercent val="0"/>
          <c:showBubbleSize val="0"/>
        </c:dLbls>
        <c:smooth val="0"/>
        <c:axId val="734479944"/>
        <c:axId val="734480928"/>
      </c:lineChart>
      <c:catAx>
        <c:axId val="734479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480928"/>
        <c:crosses val="autoZero"/>
        <c:auto val="1"/>
        <c:lblAlgn val="ctr"/>
        <c:lblOffset val="100"/>
        <c:noMultiLvlLbl val="0"/>
      </c:catAx>
      <c:valAx>
        <c:axId val="734480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479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595a3b4-95e1-40b3-9976-0da52ff3c1d6">73WM5REP3J34-2123303903-43430</_dlc_DocId>
    <_dlc_DocIdUrl xmlns="3595a3b4-95e1-40b3-9976-0da52ff3c1d6">
      <Url>http://thehub/teams/Education/_layouts/15/DocIdRedir.aspx?ID=73WM5REP3J34-2123303903-43430</Url>
      <Description>73WM5REP3J34-2123303903-43430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3752DB3E8C88479F0A6E7E7FF0C1B9" ma:contentTypeVersion="0" ma:contentTypeDescription="Create a new document." ma:contentTypeScope="" ma:versionID="1a8d8e57a4d33605bcd37e4cec178296">
  <xsd:schema xmlns:xsd="http://www.w3.org/2001/XMLSchema" xmlns:xs="http://www.w3.org/2001/XMLSchema" xmlns:p="http://schemas.microsoft.com/office/2006/metadata/properties" xmlns:ns2="3595a3b4-95e1-40b3-9976-0da52ff3c1d6" targetNamespace="http://schemas.microsoft.com/office/2006/metadata/properties" ma:root="true" ma:fieldsID="80b0b4eee7771ab2030d4172299912fa" ns2:_="">
    <xsd:import namespace="3595a3b4-95e1-40b3-9976-0da52ff3c1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9FA3DC-AD11-44F9-9BAE-F0FE88498023}">
  <ds:schemaRefs>
    <ds:schemaRef ds:uri="http://schemas.microsoft.com/sharepoint/v3/contenttype/forms"/>
  </ds:schemaRefs>
</ds:datastoreItem>
</file>

<file path=customXml/itemProps2.xml><?xml version="1.0" encoding="utf-8"?>
<ds:datastoreItem xmlns:ds="http://schemas.openxmlformats.org/officeDocument/2006/customXml" ds:itemID="{F9614562-E3F9-4F94-9D40-E1E1DC712F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1DFCF1-1ACE-43FC-AADF-EB7B14189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C5D0A-EFDA-4B6C-A892-9D983F1EF8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Marrs</dc:creator>
  <cp:keywords/>
  <dc:description/>
  <cp:lastModifiedBy>Elaine MacGlone</cp:lastModifiedBy>
  <cp:revision>2</cp:revision>
  <dcterms:created xsi:type="dcterms:W3CDTF">2022-05-18T10:34:00Z</dcterms:created>
  <dcterms:modified xsi:type="dcterms:W3CDTF">2022-05-18T10:34:00Z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0x0101009C3752DB3E8C88479F0A6E7E7FF0C1B9</vt:lpwstr>
  </property>
  <property fmtid="{D5CDD505-2E9C-101B-9397-08002B2CF9AE}" pid="3" name="_dlc_DocIdItemGuid">
    <vt:lpwstr>93d956bc-3f4a-474c-80a0-0e0929c79b47</vt:lpwstr>
  </property>
  <property fmtid="{D5CDD505-2E9C-101B-9397-08002B2CF9AE}" pid="4" name="m73f487bf6df40bd884c3d6035f2f3bf">
    <vt:lpwstr>ETQ|d704014f-e21b-4d82-bd97-08158a6032b0</vt:lpwstr>
  </property>
  <property fmtid="{D5CDD505-2E9C-101B-9397-08002B2CF9AE}" pid="5" name="Directorate">
    <vt:lpwstr>81;#ETQ|d704014f-e21b-4d82-bd97-08158a6032b0</vt:lpwstr>
  </property>
  <property fmtid="{D5CDD505-2E9C-101B-9397-08002B2CF9AE}" pid="6" name="TaxCatchAll">
    <vt:lpwstr>81;#ETQ|d704014f-e21b-4d82-bd97-08158a6032b0</vt:lpwstr>
  </property>
</Properties>
</file>