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6DE3" w14:textId="20A38A96" w:rsidR="00095D94" w:rsidRPr="00BA7B65" w:rsidRDefault="007E66FC" w:rsidP="00222D2E">
      <w:pPr>
        <w:pStyle w:val="LSSCover1"/>
      </w:pPr>
      <w:r>
        <w:t xml:space="preserve">Second Reading Briefing </w:t>
      </w:r>
      <w:r w:rsidR="00095D94" w:rsidRPr="00BA7B65">
        <w:br/>
      </w:r>
    </w:p>
    <w:p w14:paraId="6A677581" w14:textId="5F9C82A0" w:rsidR="00095D94" w:rsidRPr="00BA7B65" w:rsidRDefault="002F1595" w:rsidP="004A1254">
      <w:pPr>
        <w:pStyle w:val="LSSCover2"/>
      </w:pPr>
      <w:r>
        <w:t>Retained EU Law (Revocation and Reform) Bill</w:t>
      </w:r>
      <w:r w:rsidR="00095D94" w:rsidRPr="00BA7B65">
        <w:br/>
      </w:r>
    </w:p>
    <w:p w14:paraId="05128F6B" w14:textId="77777777" w:rsidR="007E66FC" w:rsidRDefault="00095D94" w:rsidP="00607112">
      <w:pPr>
        <w:pStyle w:val="NoSpacing"/>
        <w:rPr>
          <w:lang w:val="en-GB"/>
        </w:rPr>
      </w:pPr>
      <w:r w:rsidRPr="00BA7B65">
        <w:rPr>
          <w:lang w:val="en-GB"/>
        </w:rPr>
        <w:br/>
      </w:r>
    </w:p>
    <w:p w14:paraId="18AEB9F9" w14:textId="77777777" w:rsidR="007E66FC" w:rsidRDefault="007E66FC" w:rsidP="00607112">
      <w:pPr>
        <w:pStyle w:val="NoSpacing"/>
        <w:rPr>
          <w:lang w:val="en-GB"/>
        </w:rPr>
      </w:pPr>
    </w:p>
    <w:p w14:paraId="504FB1F6" w14:textId="77777777" w:rsidR="007E66FC" w:rsidRDefault="007E66FC" w:rsidP="00607112">
      <w:pPr>
        <w:pStyle w:val="NoSpacing"/>
        <w:rPr>
          <w:lang w:val="en-GB"/>
        </w:rPr>
      </w:pPr>
    </w:p>
    <w:p w14:paraId="4FF7D4A7" w14:textId="77777777" w:rsidR="007E66FC" w:rsidRDefault="007E66FC" w:rsidP="00607112">
      <w:pPr>
        <w:pStyle w:val="NoSpacing"/>
        <w:rPr>
          <w:lang w:val="en-GB"/>
        </w:rPr>
      </w:pPr>
    </w:p>
    <w:p w14:paraId="1E13C01D" w14:textId="580237C8" w:rsidR="0025503C" w:rsidRPr="00BA7B65" w:rsidRDefault="002F1595" w:rsidP="00607112">
      <w:pPr>
        <w:pStyle w:val="NoSpacing"/>
        <w:rPr>
          <w:lang w:val="en-GB"/>
        </w:rPr>
      </w:pPr>
      <w:r>
        <w:rPr>
          <w:lang w:val="en-GB"/>
        </w:rPr>
        <w:t>October</w:t>
      </w:r>
      <w:r w:rsidR="007E66FC">
        <w:rPr>
          <w:lang w:val="en-GB"/>
        </w:rPr>
        <w:t xml:space="preserve"> 202</w:t>
      </w:r>
      <w:r>
        <w:rPr>
          <w:lang w:val="en-GB"/>
        </w:rPr>
        <w:t>2</w:t>
      </w:r>
      <w:r w:rsidR="00095D94" w:rsidRPr="00BA7B65">
        <w:rPr>
          <w:lang w:val="en-GB"/>
        </w:rPr>
        <w:t xml:space="preserve"> </w:t>
      </w:r>
    </w:p>
    <w:p w14:paraId="76BDE1BD" w14:textId="77777777" w:rsidR="0025503C" w:rsidRPr="00BA7B65" w:rsidRDefault="0025503C" w:rsidP="004A1254">
      <w:pPr>
        <w:sectPr w:rsidR="0025503C" w:rsidRPr="00BA7B65"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6D89FB41" w14:textId="77777777" w:rsidR="0025503C" w:rsidRPr="00BA7B65" w:rsidRDefault="00CE36DA" w:rsidP="0077487D">
      <w:pPr>
        <w:pStyle w:val="LSSChapt1"/>
      </w:pPr>
      <w:r w:rsidRPr="00BA7B65">
        <w:lastRenderedPageBreak/>
        <w:t>Introduction</w:t>
      </w:r>
    </w:p>
    <w:p w14:paraId="0FD030BE" w14:textId="77777777" w:rsidR="002F1595" w:rsidRPr="002F1595" w:rsidRDefault="002F1595" w:rsidP="002F1595">
      <w:pPr>
        <w:pStyle w:val="NormalWeb"/>
        <w:rPr>
          <w:rFonts w:ascii="Arial" w:hAnsi="Arial" w:cs="Arial"/>
          <w:sz w:val="22"/>
          <w:szCs w:val="22"/>
        </w:rPr>
      </w:pPr>
      <w:r w:rsidRPr="002F1595">
        <w:rPr>
          <w:rFonts w:ascii="Arial" w:hAnsi="Arial" w:cs="Arial"/>
          <w:sz w:val="22"/>
          <w:szCs w:val="22"/>
        </w:rPr>
        <w:t xml:space="preserve">The Law Society of Scotland is the professional body for over 12,000 Scottish solicitors. We are a regulator that sets and enforces standards for the solicitor profession which helps people in need and supports business in Scotland, the UK and overseas. We support solicitors and drive change to ensure Scotland has a strong, successful and diverse legal profession. We represent our members and wider society when speaking out on human rights and the rule of law. We also seek to influence changes to legislation and the operation of our justice system as part of our work towards a fairer and more just society.  </w:t>
      </w:r>
    </w:p>
    <w:p w14:paraId="430439A4" w14:textId="77777777" w:rsidR="002F1595" w:rsidRPr="002F1595" w:rsidRDefault="002F1595" w:rsidP="002F1595">
      <w:pPr>
        <w:pStyle w:val="BodyA"/>
        <w:rPr>
          <w:rFonts w:ascii="Arial" w:hAnsi="Arial" w:cs="Arial"/>
        </w:rPr>
      </w:pPr>
      <w:r w:rsidRPr="002F1595">
        <w:rPr>
          <w:rFonts w:ascii="Arial" w:hAnsi="Arial" w:cs="Arial"/>
        </w:rPr>
        <w:t xml:space="preserve">In the foreword to </w:t>
      </w:r>
      <w:r w:rsidRPr="002F1595">
        <w:rPr>
          <w:rFonts w:ascii="Arial" w:hAnsi="Arial" w:cs="Arial"/>
          <w:i/>
          <w:iCs/>
        </w:rPr>
        <w:t>Legislating for the United Kingdom’s withdrawal from the European</w:t>
      </w:r>
      <w:r w:rsidRPr="002F1595">
        <w:rPr>
          <w:rFonts w:ascii="Arial" w:hAnsi="Arial" w:cs="Arial"/>
        </w:rPr>
        <w:t xml:space="preserve"> </w:t>
      </w:r>
      <w:r w:rsidRPr="002F1595">
        <w:rPr>
          <w:rFonts w:ascii="Arial" w:hAnsi="Arial" w:cs="Arial"/>
          <w:i/>
          <w:iCs/>
        </w:rPr>
        <w:t>Union</w:t>
      </w:r>
      <w:r w:rsidRPr="002F1595">
        <w:rPr>
          <w:rFonts w:ascii="Arial" w:hAnsi="Arial" w:cs="Arial"/>
        </w:rPr>
        <w:t xml:space="preserve"> (CM 9446, 2017) the then Prime Minister, Teresa May MP, stated “Our decision to convert the ‘acquis – ’the body of European legislation – into UK law at the moment we repeal the European Communities Act is an essential part of this plan. This approach will provide maximum certainty as we leave the EU. The same rules and laws will apply on the day after exit as on the day before. It will then be for democratically elected representatives in the UK to decide on any changes to that law, after full scrutiny and proper debate”. </w:t>
      </w:r>
    </w:p>
    <w:p w14:paraId="1424111D" w14:textId="77777777" w:rsidR="002F1595" w:rsidRPr="002F1595" w:rsidRDefault="002F1595" w:rsidP="002F1595">
      <w:pPr>
        <w:pStyle w:val="BodyA"/>
        <w:rPr>
          <w:rFonts w:ascii="Arial" w:hAnsi="Arial" w:cs="Arial"/>
        </w:rPr>
      </w:pPr>
    </w:p>
    <w:p w14:paraId="46B1326B" w14:textId="6A4850BD" w:rsidR="002F1595" w:rsidRDefault="002F1595" w:rsidP="002F1595">
      <w:pPr>
        <w:pStyle w:val="BodyA"/>
        <w:rPr>
          <w:rFonts w:ascii="Arial" w:hAnsi="Arial" w:cs="Arial"/>
        </w:rPr>
      </w:pPr>
      <w:r w:rsidRPr="002F1595">
        <w:rPr>
          <w:rFonts w:ascii="Arial" w:hAnsi="Arial" w:cs="Arial"/>
        </w:rPr>
        <w:t xml:space="preserve">If we accept the premise that retaining EU law in UK law provided “the maximum certainty” as the UK left the EU, then subject to any particular amendments which are necessary to keep the body of law up to date and functioning there is no reason why retained EU law </w:t>
      </w:r>
      <w:r w:rsidR="00825AAA">
        <w:rPr>
          <w:rFonts w:ascii="Arial" w:hAnsi="Arial" w:cs="Arial"/>
        </w:rPr>
        <w:t xml:space="preserve">(REUL) </w:t>
      </w:r>
      <w:r w:rsidRPr="002F1595">
        <w:rPr>
          <w:rFonts w:ascii="Arial" w:hAnsi="Arial" w:cs="Arial"/>
        </w:rPr>
        <w:t>cannot be considered a sustainable concept. On the other hand, it would be equally possible following a thorough review and relevant amendments that incorporation into domestic law in the four UK jurisdictions could be completed.</w:t>
      </w:r>
    </w:p>
    <w:p w14:paraId="734E46FD" w14:textId="1D063A12" w:rsidR="00825AAA" w:rsidRDefault="00825AAA" w:rsidP="002F1595">
      <w:pPr>
        <w:pStyle w:val="BodyA"/>
        <w:rPr>
          <w:rFonts w:ascii="Arial" w:hAnsi="Arial" w:cs="Arial"/>
        </w:rPr>
      </w:pPr>
    </w:p>
    <w:p w14:paraId="613A063A" w14:textId="6A70CAE7" w:rsidR="00825AAA" w:rsidRPr="00825AAA" w:rsidRDefault="007E29A6" w:rsidP="00825AAA">
      <w:pPr>
        <w:pStyle w:val="BodyA"/>
        <w:rPr>
          <w:rFonts w:ascii="Arial" w:hAnsi="Arial" w:cs="Arial"/>
          <w:color w:val="auto"/>
        </w:rPr>
      </w:pPr>
      <w:r>
        <w:rPr>
          <w:rFonts w:ascii="Arial" w:hAnsi="Arial" w:cs="Arial"/>
          <w:color w:val="auto"/>
        </w:rPr>
        <w:t>T</w:t>
      </w:r>
      <w:r w:rsidR="00D36988">
        <w:rPr>
          <w:rFonts w:ascii="Arial" w:hAnsi="Arial" w:cs="Arial"/>
          <w:color w:val="auto"/>
        </w:rPr>
        <w:t>he</w:t>
      </w:r>
      <w:r w:rsidR="00825AAA" w:rsidRPr="00825AAA">
        <w:rPr>
          <w:rFonts w:ascii="Arial" w:hAnsi="Arial" w:cs="Arial"/>
          <w:color w:val="auto"/>
        </w:rPr>
        <w:t xml:space="preserve"> review </w:t>
      </w:r>
      <w:r w:rsidR="00A13AD6" w:rsidRPr="00825AAA">
        <w:rPr>
          <w:rFonts w:ascii="Arial" w:hAnsi="Arial" w:cs="Arial"/>
          <w:color w:val="auto"/>
        </w:rPr>
        <w:t>of REUL</w:t>
      </w:r>
      <w:r w:rsidR="00825AAA" w:rsidRPr="00825AAA">
        <w:rPr>
          <w:rFonts w:ascii="Arial" w:hAnsi="Arial" w:cs="Arial"/>
          <w:color w:val="auto"/>
        </w:rPr>
        <w:t xml:space="preserve"> has been </w:t>
      </w:r>
      <w:r>
        <w:rPr>
          <w:rFonts w:ascii="Arial" w:hAnsi="Arial" w:cs="Arial"/>
          <w:color w:val="auto"/>
        </w:rPr>
        <w:t xml:space="preserve">begun </w:t>
      </w:r>
      <w:r w:rsidR="00D36988">
        <w:rPr>
          <w:rFonts w:ascii="Arial" w:hAnsi="Arial" w:cs="Arial"/>
          <w:color w:val="auto"/>
        </w:rPr>
        <w:t>in terms of that announced by Lord Frost:</w:t>
      </w:r>
      <w:r w:rsidR="00D36988" w:rsidRPr="00D36988">
        <w:t xml:space="preserve"> </w:t>
      </w:r>
      <w:hyperlink r:id="rId16" w:history="1">
        <w:r w:rsidR="00D36988">
          <w:rPr>
            <w:rStyle w:val="Hyperlink"/>
          </w:rPr>
          <w:t>UK Government - Retained EU Law Dashboard | Tableau Public</w:t>
        </w:r>
      </w:hyperlink>
      <w:r>
        <w:rPr>
          <w:rFonts w:ascii="Arial" w:hAnsi="Arial" w:cs="Arial"/>
          <w:color w:val="auto"/>
        </w:rPr>
        <w:t xml:space="preserve"> as</w:t>
      </w:r>
      <w:r w:rsidR="00825AAA" w:rsidRPr="00825AAA">
        <w:rPr>
          <w:rFonts w:ascii="Arial" w:hAnsi="Arial" w:cs="Arial"/>
          <w:color w:val="auto"/>
        </w:rPr>
        <w:t xml:space="preserve"> paragraph 13 of the Explanatory Notes (“EN”) states that </w:t>
      </w:r>
      <w:r w:rsidR="00825AAA">
        <w:rPr>
          <w:rFonts w:ascii="Arial" w:hAnsi="Arial" w:cs="Arial"/>
          <w:color w:val="auto"/>
        </w:rPr>
        <w:t>:</w:t>
      </w:r>
    </w:p>
    <w:p w14:paraId="12EE7638" w14:textId="5C7284B4" w:rsidR="00825AAA" w:rsidRDefault="00825AAA" w:rsidP="00825AAA">
      <w:pPr>
        <w:pStyle w:val="BodyA"/>
        <w:rPr>
          <w:rFonts w:ascii="Arial" w:hAnsi="Arial" w:cs="Arial"/>
          <w:color w:val="auto"/>
        </w:rPr>
      </w:pPr>
      <w:r w:rsidRPr="00825AAA">
        <w:rPr>
          <w:rFonts w:ascii="Arial" w:hAnsi="Arial" w:cs="Arial"/>
          <w:color w:val="auto"/>
        </w:rPr>
        <w:t>“now the Government is in a position to ensure that REUL can be revoked, replaced, restated, updated and removed or amended to remove burdens.”</w:t>
      </w:r>
    </w:p>
    <w:p w14:paraId="615DF661" w14:textId="6CC1CBDD" w:rsidR="00825AAA" w:rsidRDefault="00825AAA" w:rsidP="00825AAA">
      <w:pPr>
        <w:pStyle w:val="BodyA"/>
        <w:rPr>
          <w:rFonts w:ascii="Arial" w:hAnsi="Arial" w:cs="Arial"/>
          <w:color w:val="auto"/>
        </w:rPr>
      </w:pPr>
    </w:p>
    <w:p w14:paraId="32D49252" w14:textId="2D12E977" w:rsidR="00825AAA" w:rsidRDefault="00825AAA" w:rsidP="00825AAA">
      <w:pPr>
        <w:pStyle w:val="BodyA"/>
        <w:rPr>
          <w:rFonts w:ascii="Arial" w:hAnsi="Arial" w:cs="Arial"/>
          <w:color w:val="auto"/>
        </w:rPr>
      </w:pPr>
      <w:r w:rsidRPr="00825AAA">
        <w:rPr>
          <w:rFonts w:ascii="Arial" w:hAnsi="Arial" w:cs="Arial"/>
          <w:color w:val="auto"/>
        </w:rPr>
        <w:t>The Bill intends to</w:t>
      </w:r>
      <w:r w:rsidR="007E29A6">
        <w:rPr>
          <w:rFonts w:ascii="Arial" w:hAnsi="Arial" w:cs="Arial"/>
          <w:color w:val="auto"/>
        </w:rPr>
        <w:t xml:space="preserve"> further</w:t>
      </w:r>
      <w:r w:rsidRPr="00825AAA">
        <w:rPr>
          <w:rFonts w:ascii="Arial" w:hAnsi="Arial" w:cs="Arial"/>
          <w:color w:val="auto"/>
        </w:rPr>
        <w:t xml:space="preserve"> facilitate th</w:t>
      </w:r>
      <w:r w:rsidR="007E29A6">
        <w:rPr>
          <w:rFonts w:ascii="Arial" w:hAnsi="Arial" w:cs="Arial"/>
          <w:color w:val="auto"/>
        </w:rPr>
        <w:t>e</w:t>
      </w:r>
      <w:r w:rsidRPr="00825AAA">
        <w:rPr>
          <w:rFonts w:ascii="Arial" w:hAnsi="Arial" w:cs="Arial"/>
          <w:color w:val="auto"/>
        </w:rPr>
        <w:t xml:space="preserve"> review and provides that it should be carried out by the end of 2023. However, given the fact that there are 2,400 pieces of REUL (see EN paragraph 16), we are concerned that this does not appear to allow sufficient time to enable </w:t>
      </w:r>
      <w:r>
        <w:rPr>
          <w:rFonts w:ascii="Arial" w:hAnsi="Arial" w:cs="Arial"/>
          <w:color w:val="auto"/>
        </w:rPr>
        <w:t xml:space="preserve">the review </w:t>
      </w:r>
      <w:r w:rsidRPr="00825AAA">
        <w:rPr>
          <w:rFonts w:ascii="Arial" w:hAnsi="Arial" w:cs="Arial"/>
          <w:color w:val="auto"/>
        </w:rPr>
        <w:t>to be completed properly after due consultation with the devolved authorities and the relevant stakeholders</w:t>
      </w:r>
      <w:r w:rsidR="00D36988">
        <w:rPr>
          <w:rFonts w:ascii="Arial" w:hAnsi="Arial" w:cs="Arial"/>
          <w:color w:val="auto"/>
        </w:rPr>
        <w:t xml:space="preserve"> including </w:t>
      </w:r>
      <w:r w:rsidR="007E29A6">
        <w:rPr>
          <w:rFonts w:ascii="Arial" w:hAnsi="Arial" w:cs="Arial"/>
          <w:color w:val="auto"/>
        </w:rPr>
        <w:t xml:space="preserve">UK </w:t>
      </w:r>
      <w:r w:rsidR="00D36988">
        <w:rPr>
          <w:rFonts w:ascii="Arial" w:hAnsi="Arial" w:cs="Arial"/>
          <w:color w:val="auto"/>
        </w:rPr>
        <w:t>Parliamentary</w:t>
      </w:r>
      <w:r w:rsidR="007E29A6">
        <w:rPr>
          <w:rFonts w:ascii="Arial" w:hAnsi="Arial" w:cs="Arial"/>
          <w:color w:val="auto"/>
        </w:rPr>
        <w:t xml:space="preserve"> and Devolved Legislature</w:t>
      </w:r>
      <w:r w:rsidR="00D36988">
        <w:rPr>
          <w:rFonts w:ascii="Arial" w:hAnsi="Arial" w:cs="Arial"/>
          <w:color w:val="auto"/>
        </w:rPr>
        <w:t xml:space="preserve"> Committees</w:t>
      </w:r>
      <w:r w:rsidR="007E29A6">
        <w:rPr>
          <w:rFonts w:ascii="Arial" w:hAnsi="Arial" w:cs="Arial"/>
          <w:color w:val="auto"/>
        </w:rPr>
        <w:t>:</w:t>
      </w:r>
      <w:r w:rsidR="00D36988">
        <w:rPr>
          <w:rFonts w:ascii="Arial" w:hAnsi="Arial" w:cs="Arial"/>
          <w:color w:val="auto"/>
        </w:rPr>
        <w:t xml:space="preserve"> see comments on parliamentary consultation contained in the European Scrutiny Committee report:</w:t>
      </w:r>
      <w:r w:rsidR="00D36988">
        <w:t xml:space="preserve"> </w:t>
      </w:r>
      <w:hyperlink r:id="rId17" w:history="1">
        <w:r w:rsidR="00D36988">
          <w:rPr>
            <w:rStyle w:val="Hyperlink"/>
          </w:rPr>
          <w:t>Retained EU Law: Where next? - European Scrutiny Committee (parliament.uk)</w:t>
        </w:r>
      </w:hyperlink>
      <w:r w:rsidRPr="00825AAA">
        <w:rPr>
          <w:rFonts w:ascii="Arial" w:hAnsi="Arial" w:cs="Arial"/>
          <w:color w:val="auto"/>
        </w:rPr>
        <w:t xml:space="preserve">. </w:t>
      </w:r>
    </w:p>
    <w:p w14:paraId="5DC1B13F" w14:textId="77777777" w:rsidR="00D36988" w:rsidRPr="00825AAA" w:rsidRDefault="00D36988" w:rsidP="00825AAA">
      <w:pPr>
        <w:pStyle w:val="BodyA"/>
        <w:rPr>
          <w:rFonts w:ascii="Arial" w:hAnsi="Arial" w:cs="Arial"/>
          <w:color w:val="auto"/>
        </w:rPr>
      </w:pPr>
    </w:p>
    <w:p w14:paraId="1FFE22D7" w14:textId="4FD1D173" w:rsidR="00825AAA" w:rsidRPr="00825AAA" w:rsidRDefault="00825AAA" w:rsidP="00825AAA">
      <w:pPr>
        <w:pStyle w:val="BodyA"/>
        <w:rPr>
          <w:rFonts w:ascii="Arial" w:hAnsi="Arial" w:cs="Arial"/>
          <w:color w:val="auto"/>
        </w:rPr>
      </w:pPr>
      <w:r w:rsidRPr="00825AAA">
        <w:rPr>
          <w:rFonts w:ascii="Arial" w:hAnsi="Arial" w:cs="Arial"/>
          <w:color w:val="auto"/>
        </w:rPr>
        <w:t>We are also concerned that the process of moving from the “maximum certainty” of REUL to domestic provisions in such a short time could result in less certainty and more confusion</w:t>
      </w:r>
      <w:r w:rsidR="00D36988">
        <w:rPr>
          <w:rFonts w:ascii="Arial" w:hAnsi="Arial" w:cs="Arial"/>
          <w:color w:val="auto"/>
        </w:rPr>
        <w:t xml:space="preserve"> with consequent adverse impact on individuals and businesses affected</w:t>
      </w:r>
      <w:r w:rsidRPr="00825AAA">
        <w:rPr>
          <w:rFonts w:ascii="Arial" w:hAnsi="Arial" w:cs="Arial"/>
          <w:color w:val="auto"/>
        </w:rPr>
        <w:t xml:space="preserve">. </w:t>
      </w:r>
    </w:p>
    <w:p w14:paraId="738B5DC8" w14:textId="77777777" w:rsidR="00825AAA" w:rsidRPr="00825AAA" w:rsidRDefault="00825AAA" w:rsidP="00825AAA">
      <w:pPr>
        <w:pStyle w:val="BodyA"/>
        <w:rPr>
          <w:rFonts w:ascii="Arial" w:hAnsi="Arial" w:cs="Arial"/>
          <w:color w:val="auto"/>
        </w:rPr>
      </w:pPr>
    </w:p>
    <w:p w14:paraId="4499AD07" w14:textId="7BB739DE" w:rsidR="00825AAA" w:rsidRPr="00825AAA" w:rsidRDefault="00825AAA" w:rsidP="00825AAA">
      <w:pPr>
        <w:pStyle w:val="BodyA"/>
        <w:rPr>
          <w:rFonts w:ascii="Arial" w:hAnsi="Arial" w:cs="Arial"/>
          <w:color w:val="auto"/>
        </w:rPr>
      </w:pPr>
      <w:r w:rsidRPr="00825AAA">
        <w:rPr>
          <w:rFonts w:ascii="Arial" w:hAnsi="Arial" w:cs="Arial"/>
          <w:color w:val="auto"/>
        </w:rPr>
        <w:t xml:space="preserve">This is particularly so in the case of Scotland in view of the current policy of the Scottish Government and Parliament </w:t>
      </w:r>
      <w:r w:rsidR="007E29A6">
        <w:rPr>
          <w:rFonts w:ascii="Arial" w:hAnsi="Arial" w:cs="Arial"/>
          <w:color w:val="auto"/>
        </w:rPr>
        <w:t xml:space="preserve">under the UK Withdrawal from the European Union (Continuity)(Scotland) Act 2021 </w:t>
      </w:r>
      <w:r w:rsidRPr="00825AAA">
        <w:rPr>
          <w:rFonts w:ascii="Arial" w:hAnsi="Arial" w:cs="Arial"/>
          <w:color w:val="auto"/>
        </w:rPr>
        <w:t xml:space="preserve">to keep pace with EU law so far as possible. This is likely to result in considerable divergence between what domestic provisions replace REUL in Scotland and the rest of the UK which may result in difficulties under the </w:t>
      </w:r>
      <w:r w:rsidR="007E29A6">
        <w:rPr>
          <w:rFonts w:ascii="Arial" w:hAnsi="Arial" w:cs="Arial"/>
          <w:color w:val="auto"/>
        </w:rPr>
        <w:t xml:space="preserve">United Kingdom </w:t>
      </w:r>
      <w:r w:rsidRPr="00825AAA">
        <w:rPr>
          <w:rFonts w:ascii="Arial" w:hAnsi="Arial" w:cs="Arial"/>
          <w:color w:val="auto"/>
        </w:rPr>
        <w:t>Internal Market Act 2020. This is despite what is stated in paragraph 60 EN that</w:t>
      </w:r>
      <w:r w:rsidR="00194FFC">
        <w:rPr>
          <w:rFonts w:ascii="Arial" w:hAnsi="Arial" w:cs="Arial"/>
          <w:color w:val="auto"/>
        </w:rPr>
        <w:t>:</w:t>
      </w:r>
    </w:p>
    <w:p w14:paraId="568FCA9F" w14:textId="77777777" w:rsidR="00825AAA" w:rsidRPr="00825AAA" w:rsidRDefault="00825AAA" w:rsidP="00825AAA">
      <w:pPr>
        <w:pStyle w:val="BodyA"/>
        <w:rPr>
          <w:rFonts w:ascii="Arial" w:hAnsi="Arial" w:cs="Arial"/>
          <w:color w:val="auto"/>
        </w:rPr>
      </w:pPr>
    </w:p>
    <w:p w14:paraId="655D10DF" w14:textId="77777777" w:rsidR="00825AAA" w:rsidRPr="00825AAA" w:rsidRDefault="00825AAA" w:rsidP="00825AAA">
      <w:pPr>
        <w:pStyle w:val="BodyA"/>
        <w:ind w:left="720"/>
        <w:rPr>
          <w:rFonts w:ascii="Arial" w:hAnsi="Arial" w:cs="Arial"/>
          <w:color w:val="auto"/>
        </w:rPr>
      </w:pPr>
      <w:r w:rsidRPr="00825AAA">
        <w:rPr>
          <w:rFonts w:ascii="Arial" w:hAnsi="Arial" w:cs="Arial"/>
          <w:color w:val="auto"/>
        </w:rPr>
        <w:t>“The Government remains committed to respecting the devolution settlements and the Sewel convention and has ensured that the Bill will not alter the devolution settlements and will not create greater intra-UK divergence.”</w:t>
      </w:r>
    </w:p>
    <w:p w14:paraId="61B6DB50" w14:textId="77777777" w:rsidR="00825AAA" w:rsidRPr="00825AAA" w:rsidRDefault="00825AAA" w:rsidP="00825AAA">
      <w:pPr>
        <w:pStyle w:val="BodyA"/>
        <w:rPr>
          <w:rFonts w:ascii="Arial" w:hAnsi="Arial" w:cs="Arial"/>
          <w:color w:val="auto"/>
        </w:rPr>
      </w:pPr>
    </w:p>
    <w:p w14:paraId="5E1A20D9" w14:textId="43642B63" w:rsidR="002F1595" w:rsidRPr="002F1595" w:rsidRDefault="00825AAA" w:rsidP="002F1595">
      <w:pPr>
        <w:pStyle w:val="BodyA"/>
        <w:rPr>
          <w:rFonts w:ascii="Arial" w:hAnsi="Arial" w:cs="Arial"/>
        </w:rPr>
      </w:pPr>
      <w:r>
        <w:rPr>
          <w:rFonts w:ascii="Arial" w:hAnsi="Arial" w:cs="Arial"/>
        </w:rPr>
        <w:t>I</w:t>
      </w:r>
      <w:r w:rsidR="002F1595" w:rsidRPr="002F1595">
        <w:rPr>
          <w:rFonts w:ascii="Arial" w:hAnsi="Arial" w:cs="Arial"/>
        </w:rPr>
        <w:t>f the Bill is to proceed it will require considerable amendment to ensure that there is adequate consultation with relevant stakeholders before moving from the current arrangements of REU</w:t>
      </w:r>
      <w:r w:rsidR="007E29A6">
        <w:rPr>
          <w:rFonts w:ascii="Arial" w:hAnsi="Arial" w:cs="Arial"/>
        </w:rPr>
        <w:t>L</w:t>
      </w:r>
      <w:r w:rsidR="002F1595" w:rsidRPr="002F1595">
        <w:rPr>
          <w:rFonts w:ascii="Arial" w:hAnsi="Arial" w:cs="Arial"/>
        </w:rPr>
        <w:t xml:space="preserve"> to domestic provisions. </w:t>
      </w:r>
    </w:p>
    <w:p w14:paraId="6178E685" w14:textId="5B701EBE" w:rsidR="007E66FC" w:rsidRDefault="002F1595" w:rsidP="002F1595">
      <w:pPr>
        <w:pStyle w:val="BodyA"/>
        <w:rPr>
          <w:sz w:val="20"/>
          <w:szCs w:val="20"/>
        </w:rPr>
      </w:pPr>
      <w:r w:rsidRPr="002F1595">
        <w:rPr>
          <w:rFonts w:ascii="Arial" w:hAnsi="Arial" w:cs="Arial"/>
        </w:rPr>
        <w:t>Furthermore</w:t>
      </w:r>
      <w:r w:rsidR="00825AAA">
        <w:rPr>
          <w:rFonts w:ascii="Arial" w:hAnsi="Arial" w:cs="Arial"/>
        </w:rPr>
        <w:t>,</w:t>
      </w:r>
      <w:r w:rsidRPr="002F1595">
        <w:rPr>
          <w:rFonts w:ascii="Arial" w:hAnsi="Arial" w:cs="Arial"/>
        </w:rPr>
        <w:t xml:space="preserve"> a number of provisions set out a number of restrictions on the powers of the devolved authorities. Legislation which affects the legislative competence of the Scottish Parliament or executive </w:t>
      </w:r>
      <w:r w:rsidRPr="002F1595">
        <w:rPr>
          <w:rFonts w:ascii="Arial" w:hAnsi="Arial" w:cs="Arial"/>
        </w:rPr>
        <w:lastRenderedPageBreak/>
        <w:t>competence of the Scottish Ministers engages the legislative consent convention. The Government should ensure that where the convention applies in relation to the Bill it should be complied with.</w:t>
      </w:r>
      <w:r w:rsidRPr="002F1595">
        <w:rPr>
          <w:sz w:val="20"/>
          <w:szCs w:val="20"/>
        </w:rPr>
        <w:t xml:space="preserve"> </w:t>
      </w:r>
    </w:p>
    <w:p w14:paraId="56E5A80B" w14:textId="77777777" w:rsidR="002F1595" w:rsidRPr="002F1595" w:rsidRDefault="002F1595" w:rsidP="002F1595">
      <w:pPr>
        <w:pStyle w:val="BodyA"/>
        <w:rPr>
          <w:sz w:val="20"/>
          <w:szCs w:val="20"/>
        </w:rPr>
      </w:pPr>
    </w:p>
    <w:p w14:paraId="5C130F8E" w14:textId="40B4B27B" w:rsidR="007E66FC" w:rsidRPr="00BA7B65" w:rsidRDefault="002F1595" w:rsidP="007E66FC">
      <w:pPr>
        <w:pStyle w:val="LSSChapt1"/>
      </w:pPr>
      <w:r>
        <w:t>Specific Comments</w:t>
      </w:r>
    </w:p>
    <w:p w14:paraId="25BD3B53" w14:textId="77777777" w:rsidR="002F1595" w:rsidRPr="006C135D" w:rsidRDefault="002F1595" w:rsidP="005D3D49">
      <w:pPr>
        <w:pStyle w:val="BodyA"/>
        <w:rPr>
          <w:rFonts w:ascii="Arial" w:hAnsi="Arial" w:cs="Arial"/>
        </w:rPr>
      </w:pPr>
      <w:r w:rsidRPr="006C135D">
        <w:rPr>
          <w:rFonts w:ascii="Arial" w:hAnsi="Arial" w:cs="Arial"/>
        </w:rPr>
        <w:t>Sunsets of retained EU law</w:t>
      </w:r>
    </w:p>
    <w:p w14:paraId="0AA09065" w14:textId="77777777" w:rsidR="002F1595" w:rsidRPr="006C135D" w:rsidRDefault="002F1595" w:rsidP="005D3D49">
      <w:pPr>
        <w:pStyle w:val="BodyA"/>
        <w:rPr>
          <w:rFonts w:ascii="Arial" w:hAnsi="Arial" w:cs="Arial"/>
        </w:rPr>
      </w:pPr>
    </w:p>
    <w:p w14:paraId="4CD02E55" w14:textId="31437D53" w:rsidR="002F1595" w:rsidRPr="006C135D" w:rsidRDefault="002F1595" w:rsidP="005D3D49">
      <w:pPr>
        <w:pStyle w:val="BodyA"/>
        <w:rPr>
          <w:rFonts w:ascii="Arial" w:hAnsi="Arial" w:cs="Arial"/>
          <w:b/>
          <w:bCs/>
        </w:rPr>
      </w:pPr>
      <w:r w:rsidRPr="006C135D">
        <w:rPr>
          <w:rFonts w:ascii="Arial" w:hAnsi="Arial" w:cs="Arial"/>
          <w:b/>
          <w:bCs/>
          <w:color w:val="244061" w:themeColor="accent1" w:themeShade="80"/>
        </w:rPr>
        <w:t>1. Sunset of EU-derived subordinate legislation and retained direct EU legislatio</w:t>
      </w:r>
      <w:r w:rsidRPr="006C135D">
        <w:rPr>
          <w:rFonts w:ascii="Arial" w:hAnsi="Arial" w:cs="Arial"/>
          <w:b/>
          <w:bCs/>
        </w:rPr>
        <w:t>n</w:t>
      </w:r>
    </w:p>
    <w:p w14:paraId="698E6332" w14:textId="77777777" w:rsidR="002F1595" w:rsidRPr="006C135D" w:rsidRDefault="002F1595" w:rsidP="005D3D49">
      <w:pPr>
        <w:pStyle w:val="BodyA"/>
        <w:rPr>
          <w:rFonts w:ascii="Arial" w:hAnsi="Arial" w:cs="Arial"/>
        </w:rPr>
      </w:pPr>
    </w:p>
    <w:p w14:paraId="168059B8"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54FEB88A" w14:textId="77777777" w:rsidR="002F1595" w:rsidRPr="006C135D" w:rsidRDefault="002F1595" w:rsidP="005D3D49">
      <w:pPr>
        <w:pStyle w:val="BodyA"/>
        <w:rPr>
          <w:rFonts w:ascii="Arial" w:hAnsi="Arial" w:cs="Arial"/>
        </w:rPr>
      </w:pPr>
    </w:p>
    <w:p w14:paraId="4AFA7806" w14:textId="2DFDF102" w:rsidR="002F1595" w:rsidRDefault="002F1595" w:rsidP="005D3D49">
      <w:pPr>
        <w:pStyle w:val="BodyA"/>
        <w:rPr>
          <w:rFonts w:ascii="Arial" w:hAnsi="Arial" w:cs="Arial"/>
        </w:rPr>
      </w:pPr>
      <w:r w:rsidRPr="006C135D">
        <w:rPr>
          <w:rFonts w:ascii="Arial" w:hAnsi="Arial" w:cs="Arial"/>
        </w:rPr>
        <w:t xml:space="preserve">Subsection (1) </w:t>
      </w:r>
      <w:r w:rsidR="00825AAA">
        <w:rPr>
          <w:rFonts w:ascii="Arial" w:hAnsi="Arial" w:cs="Arial"/>
        </w:rPr>
        <w:t xml:space="preserve">provides for </w:t>
      </w:r>
      <w:r w:rsidRPr="006C135D">
        <w:rPr>
          <w:rFonts w:ascii="Arial" w:hAnsi="Arial" w:cs="Arial"/>
        </w:rPr>
        <w:t xml:space="preserve">the revocation </w:t>
      </w:r>
      <w:r w:rsidR="008B5AF9">
        <w:rPr>
          <w:rFonts w:ascii="Arial" w:hAnsi="Arial" w:cs="Arial"/>
        </w:rPr>
        <w:t xml:space="preserve">of all </w:t>
      </w:r>
      <w:r w:rsidRPr="006C135D">
        <w:rPr>
          <w:rFonts w:ascii="Arial" w:hAnsi="Arial" w:cs="Arial"/>
        </w:rPr>
        <w:t>(a) EU-derived subordinate legislation and (b) retained direct EU legislation</w:t>
      </w:r>
      <w:r w:rsidR="00825AAA">
        <w:rPr>
          <w:rFonts w:ascii="Arial" w:hAnsi="Arial" w:cs="Arial"/>
        </w:rPr>
        <w:t xml:space="preserve"> (RDEUL)</w:t>
      </w:r>
      <w:r w:rsidRPr="006C135D">
        <w:rPr>
          <w:rFonts w:ascii="Arial" w:hAnsi="Arial" w:cs="Arial"/>
        </w:rPr>
        <w:t xml:space="preserve"> a</w:t>
      </w:r>
      <w:r w:rsidR="008B5AF9">
        <w:rPr>
          <w:rFonts w:ascii="Arial" w:hAnsi="Arial" w:cs="Arial"/>
        </w:rPr>
        <w:t>t</w:t>
      </w:r>
      <w:r w:rsidRPr="006C135D">
        <w:rPr>
          <w:rFonts w:ascii="Arial" w:hAnsi="Arial" w:cs="Arial"/>
        </w:rPr>
        <w:t xml:space="preserve"> the end of 2023.</w:t>
      </w:r>
    </w:p>
    <w:p w14:paraId="0213966C" w14:textId="447E65A8" w:rsidR="008B5AF9" w:rsidRDefault="008B5AF9" w:rsidP="005D3D49">
      <w:pPr>
        <w:pStyle w:val="BodyA"/>
        <w:rPr>
          <w:rFonts w:ascii="Arial" w:hAnsi="Arial" w:cs="Arial"/>
        </w:rPr>
      </w:pPr>
    </w:p>
    <w:p w14:paraId="0E663D90" w14:textId="74785794" w:rsidR="008B5AF9" w:rsidRDefault="008B5AF9" w:rsidP="005D3D49">
      <w:pPr>
        <w:pStyle w:val="BodyA"/>
        <w:rPr>
          <w:rFonts w:ascii="Arial" w:hAnsi="Arial" w:cs="Arial"/>
          <w:color w:val="auto"/>
        </w:rPr>
      </w:pPr>
      <w:r w:rsidRPr="008B5AF9">
        <w:rPr>
          <w:rFonts w:ascii="Arial" w:hAnsi="Arial" w:cs="Arial"/>
          <w:color w:val="auto"/>
        </w:rPr>
        <w:t xml:space="preserve">The reference to the “end of 2023” in subsection (1) is vague. It is suggested that this reference should be defined in clause 21(1) as </w:t>
      </w:r>
      <w:r w:rsidRPr="008B5AF9">
        <w:rPr>
          <w:rFonts w:ascii="Arial" w:hAnsi="Arial" w:cs="Arial"/>
          <w:color w:val="auto"/>
          <w:shd w:val="clear" w:color="auto" w:fill="FFFFFF"/>
        </w:rPr>
        <w:t>“11.59 p.m. on 31 December 2023” following the precedent of the European Union (Withdrawal Agreement) Act 2020.</w:t>
      </w:r>
      <w:r w:rsidRPr="008B5AF9">
        <w:rPr>
          <w:rFonts w:ascii="Arial" w:hAnsi="Arial" w:cs="Arial"/>
          <w:color w:val="auto"/>
        </w:rPr>
        <w:t xml:space="preserve"> This comment applies throughout the Bill and is not repeated</w:t>
      </w:r>
      <w:r>
        <w:rPr>
          <w:rFonts w:ascii="Arial" w:hAnsi="Arial" w:cs="Arial"/>
          <w:color w:val="auto"/>
        </w:rPr>
        <w:t>.</w:t>
      </w:r>
    </w:p>
    <w:p w14:paraId="47C4C8AB" w14:textId="6353245B" w:rsidR="008B5AF9" w:rsidRDefault="008B5AF9" w:rsidP="005D3D49">
      <w:pPr>
        <w:pStyle w:val="BodyA"/>
        <w:rPr>
          <w:rFonts w:ascii="Arial" w:hAnsi="Arial" w:cs="Arial"/>
          <w:color w:val="auto"/>
        </w:rPr>
      </w:pPr>
    </w:p>
    <w:p w14:paraId="1F841187" w14:textId="07C727C1" w:rsidR="008B5AF9" w:rsidRPr="00954B81" w:rsidRDefault="008B5AF9" w:rsidP="005D3D49">
      <w:pPr>
        <w:pStyle w:val="BodyA"/>
        <w:rPr>
          <w:rFonts w:ascii="Arial" w:hAnsi="Arial" w:cs="Arial"/>
          <w:color w:val="auto"/>
        </w:rPr>
      </w:pPr>
      <w:r w:rsidRPr="00954B81">
        <w:rPr>
          <w:rFonts w:ascii="Arial" w:hAnsi="Arial" w:cs="Arial"/>
          <w:color w:val="auto"/>
        </w:rPr>
        <w:t>Subsection (2) enables regulations made by a relevant national authority (i.e. Minister of the Crown or a devolved authority) to exempt from the revocation under subsection (1) of specified provisions of EU-derived subordinate legislation or RUEUL. This will provide a safety net to enable such specified provisions to be preserved after the end of 2023. These preserved provisions will in terms of section 6</w:t>
      </w:r>
      <w:r>
        <w:rPr>
          <w:rFonts w:ascii="Arial" w:hAnsi="Arial" w:cs="Arial"/>
          <w:color w:val="auto"/>
        </w:rPr>
        <w:t xml:space="preserve"> </w:t>
      </w:r>
      <w:r w:rsidRPr="00954B81">
        <w:rPr>
          <w:rFonts w:ascii="Arial" w:hAnsi="Arial" w:cs="Arial"/>
          <w:color w:val="auto"/>
        </w:rPr>
        <w:t>become assimilated law</w:t>
      </w:r>
      <w:r>
        <w:rPr>
          <w:rFonts w:ascii="Arial" w:hAnsi="Arial" w:cs="Arial"/>
          <w:color w:val="auto"/>
        </w:rPr>
        <w:t>.</w:t>
      </w:r>
      <w:r w:rsidRPr="00954B81">
        <w:rPr>
          <w:rFonts w:ascii="Arial" w:hAnsi="Arial" w:cs="Arial"/>
          <w:color w:val="auto"/>
        </w:rPr>
        <w:t xml:space="preserve"> </w:t>
      </w:r>
    </w:p>
    <w:p w14:paraId="05DB5B9F" w14:textId="77777777" w:rsidR="002F1595" w:rsidRPr="006C135D" w:rsidRDefault="002F1595" w:rsidP="005D3D49">
      <w:pPr>
        <w:pStyle w:val="BodyA"/>
        <w:rPr>
          <w:rFonts w:ascii="Arial" w:hAnsi="Arial" w:cs="Arial"/>
        </w:rPr>
      </w:pPr>
    </w:p>
    <w:p w14:paraId="09A2A925" w14:textId="43C08110" w:rsidR="002F1595" w:rsidRDefault="008B5AF9" w:rsidP="005D3D49">
      <w:pPr>
        <w:pStyle w:val="BodyA"/>
        <w:rPr>
          <w:rFonts w:ascii="Arial" w:hAnsi="Arial" w:cs="Arial"/>
        </w:rPr>
      </w:pPr>
      <w:r>
        <w:rPr>
          <w:rFonts w:ascii="Arial" w:hAnsi="Arial" w:cs="Arial"/>
        </w:rPr>
        <w:t>S</w:t>
      </w:r>
      <w:r w:rsidRPr="006C135D">
        <w:rPr>
          <w:rFonts w:ascii="Arial" w:hAnsi="Arial" w:cs="Arial"/>
        </w:rPr>
        <w:t xml:space="preserve">ubsection (4) </w:t>
      </w:r>
      <w:r>
        <w:rPr>
          <w:rFonts w:ascii="Arial" w:hAnsi="Arial" w:cs="Arial"/>
        </w:rPr>
        <w:t>defines E</w:t>
      </w:r>
      <w:r w:rsidR="002F1595" w:rsidRPr="006C135D">
        <w:rPr>
          <w:rFonts w:ascii="Arial" w:hAnsi="Arial" w:cs="Arial"/>
        </w:rPr>
        <w:t>U-derived subordinate legislation as any domestic subordinate legislation so far as</w:t>
      </w:r>
      <w:r>
        <w:rPr>
          <w:rFonts w:ascii="Arial" w:hAnsi="Arial" w:cs="Arial"/>
        </w:rPr>
        <w:t xml:space="preserve"> </w:t>
      </w:r>
      <w:r w:rsidR="002F1595" w:rsidRPr="006C135D">
        <w:rPr>
          <w:rFonts w:ascii="Arial" w:hAnsi="Arial" w:cs="Arial"/>
        </w:rPr>
        <w:t>—</w:t>
      </w:r>
      <w:r>
        <w:rPr>
          <w:rFonts w:ascii="Arial" w:hAnsi="Arial" w:cs="Arial"/>
        </w:rPr>
        <w:t xml:space="preserve"> </w:t>
      </w:r>
      <w:r w:rsidR="002F1595" w:rsidRPr="006C135D">
        <w:rPr>
          <w:rFonts w:ascii="Arial" w:hAnsi="Arial" w:cs="Arial"/>
        </w:rPr>
        <w:t xml:space="preserve">(a) it was made under section 2(2) of, or paragraph 1A of Schedule 2 to the European Communities Act 1972, or (b) it was made, or operated immediately before IP completion day, for a purpose mentioned in section 2(2)(a) of that Act (implementation of EU obligations </w:t>
      </w:r>
      <w:r w:rsidR="00F84A81" w:rsidRPr="006C135D">
        <w:rPr>
          <w:rFonts w:ascii="Arial" w:hAnsi="Arial" w:cs="Arial"/>
        </w:rPr>
        <w:t>etc.</w:t>
      </w:r>
      <w:r w:rsidR="002F1595" w:rsidRPr="006C135D">
        <w:rPr>
          <w:rFonts w:ascii="Arial" w:hAnsi="Arial" w:cs="Arial"/>
        </w:rPr>
        <w:t>),</w:t>
      </w:r>
      <w:r>
        <w:rPr>
          <w:rFonts w:ascii="Arial" w:hAnsi="Arial" w:cs="Arial"/>
        </w:rPr>
        <w:t xml:space="preserve"> </w:t>
      </w:r>
      <w:r w:rsidR="002F1595" w:rsidRPr="006C135D">
        <w:rPr>
          <w:rFonts w:ascii="Arial" w:hAnsi="Arial" w:cs="Arial"/>
        </w:rPr>
        <w:t>and as modified by any enactment.</w:t>
      </w:r>
    </w:p>
    <w:p w14:paraId="52C75F05" w14:textId="459526B2" w:rsidR="008B5AF9" w:rsidRDefault="008B5AF9" w:rsidP="005D3D49">
      <w:pPr>
        <w:pStyle w:val="BodyA"/>
        <w:rPr>
          <w:rFonts w:ascii="Arial" w:hAnsi="Arial" w:cs="Arial"/>
        </w:rPr>
      </w:pPr>
    </w:p>
    <w:p w14:paraId="3A5848C1" w14:textId="5EECF74F" w:rsidR="008B5AF9" w:rsidRPr="00954B81" w:rsidRDefault="008B5AF9" w:rsidP="005D3D49">
      <w:pPr>
        <w:pStyle w:val="BodyA"/>
        <w:rPr>
          <w:rFonts w:ascii="Arial" w:hAnsi="Arial" w:cs="Arial"/>
          <w:color w:val="auto"/>
        </w:rPr>
      </w:pPr>
      <w:r w:rsidRPr="00954B81">
        <w:rPr>
          <w:rFonts w:ascii="Arial" w:hAnsi="Arial" w:cs="Arial"/>
          <w:color w:val="auto"/>
        </w:rPr>
        <w:t>This definition, and particularly the use of the words “so far as”, means that it could be very difficult to identify the relevant parts of the subordinate legislation which fall within the definition. It will be difficult to do</w:t>
      </w:r>
      <w:r w:rsidR="00B96388">
        <w:rPr>
          <w:rFonts w:ascii="Arial" w:hAnsi="Arial" w:cs="Arial"/>
          <w:color w:val="auto"/>
        </w:rPr>
        <w:t xml:space="preserve"> </w:t>
      </w:r>
      <w:r w:rsidRPr="00954B81">
        <w:rPr>
          <w:rFonts w:ascii="Arial" w:hAnsi="Arial" w:cs="Arial"/>
          <w:color w:val="auto"/>
        </w:rPr>
        <w:t>this thoroughly and evaluate it in the time available before the end of 2023.</w:t>
      </w:r>
    </w:p>
    <w:p w14:paraId="05419A0C" w14:textId="77777777" w:rsidR="002F1595" w:rsidRPr="006C135D" w:rsidRDefault="002F1595" w:rsidP="005D3D49">
      <w:pPr>
        <w:pStyle w:val="BodyA"/>
        <w:rPr>
          <w:rFonts w:ascii="Arial" w:hAnsi="Arial" w:cs="Arial"/>
        </w:rPr>
      </w:pPr>
    </w:p>
    <w:p w14:paraId="40BF77AE" w14:textId="04FC07E0" w:rsidR="002F1595" w:rsidRPr="006C135D" w:rsidRDefault="002F1595" w:rsidP="005D3D49">
      <w:pPr>
        <w:pStyle w:val="BodyA"/>
        <w:rPr>
          <w:rFonts w:ascii="Arial" w:hAnsi="Arial" w:cs="Arial"/>
          <w:b/>
          <w:bCs/>
        </w:rPr>
      </w:pPr>
      <w:r w:rsidRPr="006C135D">
        <w:rPr>
          <w:rFonts w:ascii="Arial" w:hAnsi="Arial" w:cs="Arial"/>
          <w:b/>
          <w:bCs/>
          <w:color w:val="244061" w:themeColor="accent1" w:themeShade="80"/>
        </w:rPr>
        <w:t>2. Extension of sunset under section 1</w:t>
      </w:r>
    </w:p>
    <w:p w14:paraId="0C5F2655" w14:textId="77777777" w:rsidR="002F1595" w:rsidRPr="006C135D" w:rsidRDefault="002F1595" w:rsidP="005D3D49">
      <w:pPr>
        <w:pStyle w:val="BodyA"/>
        <w:rPr>
          <w:rFonts w:ascii="Arial" w:hAnsi="Arial" w:cs="Arial"/>
        </w:rPr>
      </w:pPr>
    </w:p>
    <w:p w14:paraId="394E2F5F"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077C1499" w14:textId="77777777" w:rsidR="002F1595" w:rsidRPr="006C135D" w:rsidRDefault="002F1595" w:rsidP="005D3D49">
      <w:pPr>
        <w:pStyle w:val="BodyA"/>
        <w:rPr>
          <w:rFonts w:ascii="Arial" w:hAnsi="Arial" w:cs="Arial"/>
          <w:b/>
          <w:bCs/>
        </w:rPr>
      </w:pPr>
    </w:p>
    <w:p w14:paraId="3E2EF731" w14:textId="77777777" w:rsidR="002F1595" w:rsidRPr="006C135D" w:rsidRDefault="002F1595" w:rsidP="005D3D49">
      <w:pPr>
        <w:pStyle w:val="BodyA"/>
        <w:rPr>
          <w:rFonts w:ascii="Arial" w:eastAsia="Arial" w:hAnsi="Arial" w:cs="Arial"/>
        </w:rPr>
      </w:pPr>
      <w:r w:rsidRPr="006C135D">
        <w:rPr>
          <w:rFonts w:ascii="Arial" w:hAnsi="Arial" w:cs="Arial"/>
        </w:rPr>
        <w:t xml:space="preserve">Clause 2 provides that a Minister of the Crown may by regulations provide that the reference in section 1(1) to the end of 2023 should specify a “later time”. </w:t>
      </w:r>
    </w:p>
    <w:p w14:paraId="2ACDE2D3" w14:textId="77777777" w:rsidR="002F1595" w:rsidRPr="006C135D" w:rsidRDefault="002F1595" w:rsidP="005D3D49">
      <w:pPr>
        <w:pStyle w:val="BodyA"/>
        <w:rPr>
          <w:rFonts w:ascii="Arial" w:hAnsi="Arial" w:cs="Arial"/>
        </w:rPr>
      </w:pPr>
    </w:p>
    <w:p w14:paraId="37839231" w14:textId="79CDFCA4" w:rsidR="002F1595" w:rsidRPr="006C135D" w:rsidRDefault="008B5AF9" w:rsidP="005D3D49">
      <w:pPr>
        <w:pStyle w:val="BodyA"/>
        <w:rPr>
          <w:rFonts w:ascii="Arial" w:hAnsi="Arial" w:cs="Arial"/>
        </w:rPr>
      </w:pPr>
      <w:r>
        <w:rPr>
          <w:rFonts w:ascii="Arial" w:hAnsi="Arial" w:cs="Arial"/>
        </w:rPr>
        <w:t>Clause</w:t>
      </w:r>
      <w:r w:rsidR="002F1595" w:rsidRPr="006C135D">
        <w:rPr>
          <w:rFonts w:ascii="Arial" w:hAnsi="Arial" w:cs="Arial"/>
        </w:rPr>
        <w:t xml:space="preserve"> 2(3) provides that the “later time” cannot be later than the end of 23 June 2026. This is </w:t>
      </w:r>
      <w:r w:rsidR="00434FB8">
        <w:rPr>
          <w:rFonts w:ascii="Arial" w:hAnsi="Arial" w:cs="Arial"/>
        </w:rPr>
        <w:t xml:space="preserve">the tenth anniversary of </w:t>
      </w:r>
      <w:r w:rsidR="002F1595" w:rsidRPr="006C135D">
        <w:rPr>
          <w:rFonts w:ascii="Arial" w:hAnsi="Arial" w:cs="Arial"/>
        </w:rPr>
        <w:t>the date in June 2016 on which the referendum on UK membership of the European Union was held. Government policy in relation to the applicability of Retained EU law should not be made on the basis of symbolism which reflects political doctrine. The choice of date should be made on the application of a more rational thought process</w:t>
      </w:r>
      <w:r w:rsidR="00434FB8">
        <w:rPr>
          <w:rFonts w:ascii="Arial" w:hAnsi="Arial" w:cs="Arial"/>
        </w:rPr>
        <w:t xml:space="preserve"> including consultation with those who will be affected by the changes in the regulations</w:t>
      </w:r>
      <w:r w:rsidR="002F1595" w:rsidRPr="006C135D">
        <w:rPr>
          <w:rFonts w:ascii="Arial" w:hAnsi="Arial" w:cs="Arial"/>
        </w:rPr>
        <w:t xml:space="preserve">. Both the references to “the end of” in section 3 should be amended to be more specific and less vague.  </w:t>
      </w:r>
      <w:r w:rsidRPr="00954B81">
        <w:rPr>
          <w:rFonts w:ascii="Arial" w:hAnsi="Arial" w:cs="Arial"/>
          <w:color w:val="000000" w:themeColor="text1"/>
        </w:rPr>
        <w:t xml:space="preserve">This comment applies throughout the Bill and is not </w:t>
      </w:r>
      <w:r w:rsidR="00434FB8" w:rsidRPr="00954B81">
        <w:rPr>
          <w:rFonts w:ascii="Arial" w:hAnsi="Arial" w:cs="Arial"/>
          <w:color w:val="000000" w:themeColor="text1"/>
        </w:rPr>
        <w:t>repeated</w:t>
      </w:r>
      <w:r>
        <w:rPr>
          <w:rFonts w:ascii="Arial" w:hAnsi="Arial" w:cs="Arial"/>
          <w:color w:val="000000" w:themeColor="text1"/>
        </w:rPr>
        <w:t>.</w:t>
      </w:r>
    </w:p>
    <w:p w14:paraId="4D8C3DF6" w14:textId="77777777" w:rsidR="002F1595" w:rsidRPr="006C135D" w:rsidRDefault="002F1595" w:rsidP="005D3D49">
      <w:pPr>
        <w:pStyle w:val="BodyA"/>
        <w:rPr>
          <w:rFonts w:ascii="Arial" w:hAnsi="Arial" w:cs="Arial"/>
        </w:rPr>
      </w:pPr>
    </w:p>
    <w:p w14:paraId="1831F03E" w14:textId="0C8715DE"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3</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Sunset of retained EU rights, powers, liabilities </w:t>
      </w:r>
      <w:r w:rsidR="00F84A81" w:rsidRPr="006C135D">
        <w:rPr>
          <w:rFonts w:ascii="Arial" w:hAnsi="Arial" w:cs="Arial"/>
          <w:b/>
          <w:bCs/>
          <w:color w:val="244061" w:themeColor="accent1" w:themeShade="80"/>
        </w:rPr>
        <w:t>etc.</w:t>
      </w:r>
    </w:p>
    <w:p w14:paraId="4EDA4740" w14:textId="77777777" w:rsidR="002F1595" w:rsidRPr="006C135D" w:rsidRDefault="002F1595" w:rsidP="005D3D49">
      <w:pPr>
        <w:pStyle w:val="BodyA"/>
        <w:rPr>
          <w:rFonts w:ascii="Arial" w:hAnsi="Arial" w:cs="Arial"/>
          <w:b/>
          <w:bCs/>
        </w:rPr>
      </w:pPr>
    </w:p>
    <w:p w14:paraId="26EC3C17"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4FCA1007" w14:textId="77777777" w:rsidR="002F1595" w:rsidRPr="006C135D" w:rsidRDefault="002F1595" w:rsidP="005D3D49">
      <w:pPr>
        <w:pStyle w:val="BodyA"/>
        <w:rPr>
          <w:rFonts w:ascii="Arial" w:hAnsi="Arial" w:cs="Arial"/>
          <w:b/>
          <w:bCs/>
        </w:rPr>
      </w:pPr>
    </w:p>
    <w:p w14:paraId="15D5B5EF" w14:textId="16705C65" w:rsidR="002F1595" w:rsidRPr="006C135D" w:rsidRDefault="00184E6B" w:rsidP="005D3D49">
      <w:pPr>
        <w:pStyle w:val="BodyA"/>
        <w:rPr>
          <w:rFonts w:ascii="Arial" w:hAnsi="Arial" w:cs="Arial"/>
        </w:rPr>
      </w:pPr>
      <w:r>
        <w:rPr>
          <w:rFonts w:ascii="Arial" w:hAnsi="Arial" w:cs="Arial"/>
        </w:rPr>
        <w:lastRenderedPageBreak/>
        <w:t>Clause</w:t>
      </w:r>
      <w:r w:rsidR="002F1595" w:rsidRPr="006C135D">
        <w:rPr>
          <w:rFonts w:ascii="Arial" w:hAnsi="Arial" w:cs="Arial"/>
        </w:rPr>
        <w:t xml:space="preserve"> 3(1) provides that</w:t>
      </w:r>
      <w:r w:rsidR="002F1595" w:rsidRPr="006C135D">
        <w:rPr>
          <w:rFonts w:ascii="Arial" w:hAnsi="Arial" w:cs="Arial"/>
          <w:b/>
          <w:bCs/>
        </w:rPr>
        <w:t xml:space="preserve"> </w:t>
      </w:r>
      <w:r w:rsidR="002F1595" w:rsidRPr="006C135D">
        <w:rPr>
          <w:rFonts w:ascii="Arial" w:hAnsi="Arial" w:cs="Arial"/>
        </w:rPr>
        <w:t xml:space="preserve">Section 4 of the EUWA is repealed at the end of 2023. The comments made above in relation to the vagueness of the phrase “end of 2023” apply. </w:t>
      </w:r>
    </w:p>
    <w:p w14:paraId="75AA967D" w14:textId="77777777" w:rsidR="002F1595" w:rsidRPr="006C135D" w:rsidRDefault="002F1595" w:rsidP="005D3D49">
      <w:pPr>
        <w:pStyle w:val="BodyA"/>
        <w:rPr>
          <w:rFonts w:ascii="Arial" w:hAnsi="Arial" w:cs="Arial"/>
        </w:rPr>
      </w:pPr>
    </w:p>
    <w:p w14:paraId="2C5C344B" w14:textId="77777777" w:rsidR="002F1595" w:rsidRPr="006C135D" w:rsidRDefault="002F1595" w:rsidP="005D3D49">
      <w:pPr>
        <w:pStyle w:val="BodyA"/>
        <w:rPr>
          <w:rFonts w:ascii="Arial" w:hAnsi="Arial" w:cs="Arial"/>
          <w:i/>
          <w:iCs/>
        </w:rPr>
      </w:pPr>
      <w:r w:rsidRPr="006C135D">
        <w:rPr>
          <w:rFonts w:ascii="Arial" w:hAnsi="Arial" w:cs="Arial"/>
          <w:i/>
          <w:iCs/>
        </w:rPr>
        <w:t>Assimilation of retained EU law</w:t>
      </w:r>
    </w:p>
    <w:p w14:paraId="386253E8" w14:textId="77777777" w:rsidR="002F1595" w:rsidRPr="006C135D" w:rsidRDefault="002F1595" w:rsidP="005D3D49">
      <w:pPr>
        <w:pStyle w:val="BodyA"/>
        <w:rPr>
          <w:rFonts w:ascii="Arial" w:hAnsi="Arial" w:cs="Arial"/>
        </w:rPr>
      </w:pPr>
    </w:p>
    <w:p w14:paraId="2F39C545" w14:textId="4A16F325"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4</w:t>
      </w:r>
      <w:r w:rsidR="0059137F" w:rsidRPr="006C135D">
        <w:rPr>
          <w:rFonts w:ascii="Arial" w:hAnsi="Arial" w:cs="Arial"/>
          <w:b/>
          <w:bCs/>
          <w:color w:val="244061" w:themeColor="accent1" w:themeShade="80"/>
        </w:rPr>
        <w:t xml:space="preserve">. </w:t>
      </w:r>
      <w:r w:rsidRPr="006C135D">
        <w:rPr>
          <w:rFonts w:ascii="Arial" w:hAnsi="Arial" w:cs="Arial"/>
          <w:b/>
          <w:bCs/>
          <w:color w:val="244061" w:themeColor="accent1" w:themeShade="80"/>
        </w:rPr>
        <w:t xml:space="preserve"> Abolition of supremacy of EU law</w:t>
      </w:r>
    </w:p>
    <w:p w14:paraId="5651C7AD" w14:textId="77777777" w:rsidR="002F1595" w:rsidRPr="006C135D" w:rsidRDefault="002F1595" w:rsidP="005D3D49">
      <w:pPr>
        <w:pStyle w:val="BodyA"/>
        <w:rPr>
          <w:rFonts w:ascii="Arial" w:hAnsi="Arial" w:cs="Arial"/>
        </w:rPr>
      </w:pPr>
    </w:p>
    <w:p w14:paraId="1A6608FF"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5773ED9C" w14:textId="77777777" w:rsidR="002F1595" w:rsidRPr="006C135D" w:rsidRDefault="002F1595" w:rsidP="005D3D49">
      <w:pPr>
        <w:pStyle w:val="BodyA"/>
        <w:rPr>
          <w:rFonts w:ascii="Arial" w:hAnsi="Arial" w:cs="Arial"/>
          <w:b/>
          <w:bCs/>
        </w:rPr>
      </w:pPr>
    </w:p>
    <w:p w14:paraId="4A759EB5" w14:textId="77777777" w:rsidR="00184E6B" w:rsidRPr="00827419" w:rsidRDefault="00184E6B" w:rsidP="005D3D49">
      <w:pPr>
        <w:pStyle w:val="BodyA"/>
        <w:rPr>
          <w:rFonts w:ascii="Arial" w:hAnsi="Arial" w:cs="Arial"/>
          <w:color w:val="auto"/>
        </w:rPr>
      </w:pPr>
      <w:r w:rsidRPr="00827419">
        <w:rPr>
          <w:rFonts w:ascii="Arial" w:hAnsi="Arial" w:cs="Arial"/>
          <w:color w:val="auto"/>
        </w:rPr>
        <w:t xml:space="preserve">This clause amends EUWA by repealing as from the end of 2023 the principle of the supremacy of EU law in relation to any domestic legislation whenever made. </w:t>
      </w:r>
    </w:p>
    <w:p w14:paraId="1D565674" w14:textId="77777777" w:rsidR="00184E6B" w:rsidRPr="00827419" w:rsidRDefault="00184E6B" w:rsidP="005D3D49">
      <w:pPr>
        <w:pStyle w:val="BodyA"/>
        <w:rPr>
          <w:rFonts w:ascii="Arial" w:hAnsi="Arial" w:cs="Arial"/>
          <w:color w:val="auto"/>
        </w:rPr>
      </w:pPr>
    </w:p>
    <w:p w14:paraId="143F6BAC" w14:textId="0656CAA5" w:rsidR="00184E6B" w:rsidRPr="00827419" w:rsidRDefault="00184E6B" w:rsidP="005D3D49">
      <w:pPr>
        <w:pStyle w:val="BodyA"/>
        <w:rPr>
          <w:rFonts w:ascii="Arial" w:hAnsi="Arial" w:cs="Arial"/>
          <w:b/>
          <w:bCs/>
          <w:color w:val="auto"/>
        </w:rPr>
      </w:pPr>
      <w:r w:rsidRPr="00827419">
        <w:rPr>
          <w:rFonts w:ascii="Arial" w:hAnsi="Arial" w:cs="Arial"/>
          <w:color w:val="auto"/>
        </w:rPr>
        <w:t>That principle is currently applied to domestic legislation made on or before 31 December 2020 by section 5 EUWA. Clause 4 replaces subsections (1) to (3) of section 5 with new subsections (A1), (A2) and (A3)</w:t>
      </w:r>
      <w:r w:rsidR="00827419">
        <w:rPr>
          <w:rFonts w:ascii="Arial" w:hAnsi="Arial" w:cs="Arial"/>
          <w:color w:val="auto"/>
        </w:rPr>
        <w:t>.</w:t>
      </w:r>
    </w:p>
    <w:p w14:paraId="60125C8E" w14:textId="77777777" w:rsidR="00184E6B" w:rsidRPr="00954B81" w:rsidRDefault="00184E6B" w:rsidP="005D3D49">
      <w:pPr>
        <w:pStyle w:val="BodyA"/>
        <w:rPr>
          <w:rFonts w:ascii="Arial" w:hAnsi="Arial" w:cs="Arial"/>
          <w:b/>
          <w:bCs/>
          <w:color w:val="FF0000"/>
        </w:rPr>
      </w:pPr>
    </w:p>
    <w:p w14:paraId="6BFA6419" w14:textId="4AA8C574" w:rsidR="00184E6B" w:rsidRDefault="00184E6B" w:rsidP="005D3D49">
      <w:pPr>
        <w:pStyle w:val="BodyA"/>
        <w:rPr>
          <w:rFonts w:ascii="Arial" w:hAnsi="Arial" w:cs="Arial"/>
        </w:rPr>
      </w:pPr>
      <w:r>
        <w:rPr>
          <w:rFonts w:ascii="Arial" w:hAnsi="Arial" w:cs="Arial"/>
        </w:rPr>
        <w:t>S</w:t>
      </w:r>
      <w:r w:rsidR="002F1595" w:rsidRPr="006C135D">
        <w:rPr>
          <w:rFonts w:ascii="Arial" w:hAnsi="Arial" w:cs="Arial"/>
        </w:rPr>
        <w:t xml:space="preserve">ubsection (A1) </w:t>
      </w:r>
      <w:r w:rsidRPr="00184E6B">
        <w:rPr>
          <w:rFonts w:ascii="Arial" w:hAnsi="Arial" w:cs="Arial"/>
          <w:color w:val="auto"/>
        </w:rPr>
        <w:t>provides that the principle of</w:t>
      </w:r>
      <w:r>
        <w:rPr>
          <w:rFonts w:ascii="Arial" w:hAnsi="Arial" w:cs="Arial"/>
          <w:color w:val="auto"/>
        </w:rPr>
        <w:t xml:space="preserve"> </w:t>
      </w:r>
      <w:r w:rsidR="002F1595" w:rsidRPr="006C135D">
        <w:rPr>
          <w:rFonts w:ascii="Arial" w:hAnsi="Arial" w:cs="Arial"/>
        </w:rPr>
        <w:t xml:space="preserve">the supremacy of EU law </w:t>
      </w:r>
      <w:r w:rsidRPr="00184E6B">
        <w:rPr>
          <w:rFonts w:ascii="Arial" w:hAnsi="Arial" w:cs="Arial"/>
          <w:color w:val="auto"/>
        </w:rPr>
        <w:t>is not part of domestic law and disapplies it in relation to any legislation or rule of law whenever made from the “end of 2023”.</w:t>
      </w:r>
      <w:r w:rsidRPr="006C135D">
        <w:rPr>
          <w:rFonts w:ascii="Arial" w:hAnsi="Arial" w:cs="Arial"/>
        </w:rPr>
        <w:t xml:space="preserve"> </w:t>
      </w:r>
    </w:p>
    <w:p w14:paraId="29EB60C0" w14:textId="77777777" w:rsidR="00184E6B" w:rsidRDefault="00184E6B" w:rsidP="005D3D49">
      <w:pPr>
        <w:pStyle w:val="BodyA"/>
        <w:rPr>
          <w:rFonts w:ascii="Arial" w:hAnsi="Arial" w:cs="Arial"/>
        </w:rPr>
      </w:pPr>
    </w:p>
    <w:p w14:paraId="21CB6633" w14:textId="47ABBEBE" w:rsidR="00827419" w:rsidRDefault="00184E6B" w:rsidP="005D3D49">
      <w:pPr>
        <w:pStyle w:val="BodyA"/>
        <w:rPr>
          <w:rFonts w:ascii="Arial" w:hAnsi="Arial" w:cs="Arial"/>
          <w:color w:val="000000" w:themeColor="text1"/>
        </w:rPr>
      </w:pPr>
      <w:r>
        <w:rPr>
          <w:rFonts w:ascii="Arial" w:hAnsi="Arial" w:cs="Arial"/>
        </w:rPr>
        <w:t>S</w:t>
      </w:r>
      <w:r w:rsidR="002F1595" w:rsidRPr="006C135D">
        <w:rPr>
          <w:rFonts w:ascii="Arial" w:hAnsi="Arial" w:cs="Arial"/>
        </w:rPr>
        <w:t xml:space="preserve">ubsection (A2) which provides that </w:t>
      </w:r>
      <w:r>
        <w:rPr>
          <w:rFonts w:ascii="Arial" w:hAnsi="Arial" w:cs="Arial"/>
        </w:rPr>
        <w:t xml:space="preserve">RDEUL </w:t>
      </w:r>
      <w:r w:rsidR="002F1595" w:rsidRPr="006C135D">
        <w:rPr>
          <w:rFonts w:ascii="Arial" w:hAnsi="Arial" w:cs="Arial"/>
        </w:rPr>
        <w:t xml:space="preserve">must, so far as possible, be read and given effect in a way which is compatible with all domestic enactments, and is subject to all </w:t>
      </w:r>
      <w:r w:rsidR="00827419">
        <w:rPr>
          <w:rFonts w:ascii="Arial" w:hAnsi="Arial" w:cs="Arial"/>
        </w:rPr>
        <w:t xml:space="preserve">such </w:t>
      </w:r>
      <w:r w:rsidR="002F1595" w:rsidRPr="006C135D">
        <w:rPr>
          <w:rFonts w:ascii="Arial" w:hAnsi="Arial" w:cs="Arial"/>
        </w:rPr>
        <w:t>enactments, so far as it is incompatible</w:t>
      </w:r>
      <w:r w:rsidR="00827419" w:rsidRPr="00954B81">
        <w:rPr>
          <w:rFonts w:ascii="Arial" w:hAnsi="Arial" w:cs="Arial"/>
          <w:color w:val="FF0000"/>
        </w:rPr>
        <w:t xml:space="preserve">, </w:t>
      </w:r>
      <w:r w:rsidR="00827419" w:rsidRPr="00827419">
        <w:rPr>
          <w:rFonts w:ascii="Arial" w:hAnsi="Arial" w:cs="Arial"/>
          <w:color w:val="000000" w:themeColor="text1"/>
        </w:rPr>
        <w:t>or in conflict,</w:t>
      </w:r>
      <w:r w:rsidR="00827419" w:rsidRPr="00827419">
        <w:rPr>
          <w:rFonts w:ascii="Times New Roman" w:hAnsi="Times New Roman" w:cs="Times New Roman"/>
          <w:color w:val="000000" w:themeColor="text1"/>
          <w:sz w:val="40"/>
          <w:szCs w:val="40"/>
        </w:rPr>
        <w:t xml:space="preserve"> </w:t>
      </w:r>
      <w:r w:rsidR="00827419" w:rsidRPr="00827419">
        <w:rPr>
          <w:rFonts w:ascii="Arial" w:hAnsi="Arial" w:cs="Arial"/>
          <w:color w:val="000000" w:themeColor="text1"/>
        </w:rPr>
        <w:t>with</w:t>
      </w:r>
      <w:r w:rsidR="002F1595" w:rsidRPr="006C135D">
        <w:rPr>
          <w:rFonts w:ascii="Arial" w:hAnsi="Arial" w:cs="Arial"/>
        </w:rPr>
        <w:t xml:space="preserve"> them</w:t>
      </w:r>
      <w:r w:rsidR="00827419">
        <w:rPr>
          <w:rFonts w:ascii="Arial" w:hAnsi="Arial" w:cs="Arial"/>
        </w:rPr>
        <w:t>.</w:t>
      </w:r>
      <w:r w:rsidR="00827419" w:rsidRPr="00827419">
        <w:rPr>
          <w:color w:val="000000" w:themeColor="text1"/>
        </w:rPr>
        <w:t xml:space="preserve"> </w:t>
      </w:r>
      <w:r w:rsidR="00827419" w:rsidRPr="00954B81">
        <w:rPr>
          <w:rFonts w:ascii="Arial" w:hAnsi="Arial" w:cs="Arial"/>
          <w:color w:val="000000" w:themeColor="text1"/>
        </w:rPr>
        <w:t>In other words, it establishes a new priority rule by in effect reversing the principle of the supremacy of EU law.</w:t>
      </w:r>
    </w:p>
    <w:p w14:paraId="22C1636E" w14:textId="77777777" w:rsidR="007D38F5" w:rsidRPr="00954B81" w:rsidRDefault="007D38F5" w:rsidP="005D3D49">
      <w:pPr>
        <w:pStyle w:val="BodyA"/>
        <w:rPr>
          <w:rFonts w:ascii="Arial" w:hAnsi="Arial" w:cs="Arial"/>
          <w:color w:val="000000" w:themeColor="text1"/>
        </w:rPr>
      </w:pPr>
    </w:p>
    <w:p w14:paraId="156F64BF" w14:textId="279E2BA7" w:rsidR="002F1595" w:rsidRPr="00827419" w:rsidRDefault="00827419" w:rsidP="005D3D49">
      <w:pPr>
        <w:pStyle w:val="BodyA"/>
        <w:rPr>
          <w:rFonts w:ascii="Arial" w:hAnsi="Arial" w:cs="Arial"/>
          <w:color w:val="000000" w:themeColor="text1"/>
        </w:rPr>
      </w:pPr>
      <w:r>
        <w:rPr>
          <w:rFonts w:ascii="Arial" w:hAnsi="Arial" w:cs="Arial"/>
        </w:rPr>
        <w:t xml:space="preserve">Subsection </w:t>
      </w:r>
      <w:r w:rsidR="002F1595" w:rsidRPr="006C135D">
        <w:rPr>
          <w:rFonts w:ascii="Arial" w:hAnsi="Arial" w:cs="Arial"/>
        </w:rPr>
        <w:t xml:space="preserve">(A3) </w:t>
      </w:r>
      <w:r w:rsidRPr="00954B81">
        <w:rPr>
          <w:rFonts w:ascii="Arial" w:hAnsi="Arial" w:cs="Arial"/>
          <w:color w:val="auto"/>
        </w:rPr>
        <w:t>provides that subsection (A2) is subject to</w:t>
      </w:r>
      <w:r w:rsidRPr="00827419">
        <w:rPr>
          <w:rFonts w:ascii="Arial" w:hAnsi="Arial" w:cs="Arial"/>
          <w:color w:val="FF0000"/>
        </w:rPr>
        <w:t xml:space="preserve"> </w:t>
      </w:r>
      <w:r w:rsidRPr="00827419">
        <w:rPr>
          <w:rFonts w:ascii="Arial" w:hAnsi="Arial" w:cs="Arial"/>
          <w:color w:val="000000" w:themeColor="text1"/>
        </w:rPr>
        <w:t xml:space="preserve">sections 183 and 186 of the </w:t>
      </w:r>
      <w:r w:rsidR="002F1595" w:rsidRPr="006C135D">
        <w:rPr>
          <w:rFonts w:ascii="Arial" w:hAnsi="Arial" w:cs="Arial"/>
        </w:rPr>
        <w:t xml:space="preserve">Data Protection Act 2018 </w:t>
      </w:r>
      <w:r w:rsidRPr="00954B81">
        <w:rPr>
          <w:rFonts w:ascii="Arial" w:hAnsi="Arial" w:cs="Arial"/>
          <w:color w:val="000000" w:themeColor="text1"/>
        </w:rPr>
        <w:t>which makes its own provision as to the priority between various provisions of data protection legislation in RDEUL and domestic legislation; and</w:t>
      </w:r>
      <w:r>
        <w:rPr>
          <w:rFonts w:ascii="Arial" w:hAnsi="Arial" w:cs="Arial"/>
          <w:color w:val="000000" w:themeColor="text1"/>
        </w:rPr>
        <w:t xml:space="preserve"> </w:t>
      </w:r>
      <w:r w:rsidRPr="00954B81">
        <w:rPr>
          <w:rFonts w:ascii="Arial" w:hAnsi="Arial" w:cs="Arial"/>
          <w:color w:val="000000" w:themeColor="text1"/>
        </w:rPr>
        <w:t>(b) any provision to the contrary made in regulations under clause 8 (Compatibility) of the Bill.</w:t>
      </w:r>
      <w:r>
        <w:rPr>
          <w:rFonts w:ascii="Arial" w:hAnsi="Arial" w:cs="Arial"/>
          <w:color w:val="000000" w:themeColor="text1"/>
        </w:rPr>
        <w:t xml:space="preserve"> </w:t>
      </w:r>
    </w:p>
    <w:p w14:paraId="6D78BC84" w14:textId="77777777" w:rsidR="002F1595" w:rsidRPr="006C135D" w:rsidRDefault="002F1595" w:rsidP="005D3D49">
      <w:pPr>
        <w:pStyle w:val="BodyA"/>
        <w:rPr>
          <w:rFonts w:ascii="Arial" w:hAnsi="Arial" w:cs="Arial"/>
        </w:rPr>
      </w:pPr>
    </w:p>
    <w:p w14:paraId="4BE4F895" w14:textId="383D9AD0" w:rsidR="002F1595" w:rsidRDefault="002F1595" w:rsidP="005D3D49">
      <w:pPr>
        <w:pStyle w:val="BodyA"/>
        <w:rPr>
          <w:rFonts w:ascii="Arial" w:hAnsi="Arial" w:cs="Arial"/>
        </w:rPr>
      </w:pPr>
      <w:r w:rsidRPr="006C135D">
        <w:rPr>
          <w:rFonts w:ascii="Arial" w:hAnsi="Arial" w:cs="Arial"/>
        </w:rPr>
        <w:t xml:space="preserve">The </w:t>
      </w:r>
      <w:bookmarkStart w:id="0" w:name="_Hlk115791716"/>
      <w:r w:rsidRPr="006C135D">
        <w:rPr>
          <w:rFonts w:ascii="Arial" w:hAnsi="Arial" w:cs="Arial"/>
        </w:rPr>
        <w:t xml:space="preserve">principle of the supremacy of EU law </w:t>
      </w:r>
      <w:bookmarkEnd w:id="0"/>
      <w:r w:rsidRPr="006C135D">
        <w:rPr>
          <w:rFonts w:ascii="Arial" w:hAnsi="Arial" w:cs="Arial"/>
        </w:rPr>
        <w:t xml:space="preserve">was developed by the CJEU and provides that where there is a conflict between national law and EU law, EU law will prevail. It is key to the EU legal order and ensures consistent application across the EU. Duh and Rao in </w:t>
      </w:r>
      <w:r w:rsidRPr="006C135D">
        <w:rPr>
          <w:rFonts w:ascii="Arial" w:hAnsi="Arial" w:cs="Arial"/>
          <w:i/>
          <w:iCs/>
        </w:rPr>
        <w:t xml:space="preserve">Retained EU Law - A Practical Guide, </w:t>
      </w:r>
      <w:r w:rsidRPr="006C135D">
        <w:rPr>
          <w:rFonts w:ascii="Arial" w:hAnsi="Arial" w:cs="Arial"/>
        </w:rPr>
        <w:t>comment on the application of the principle. They note the comment by the House of Lords Constitution Committee that it is impossible “to see in what sense “the principle of the supremacy of EU law” could meaningfully apply in the UK once it has left the EU” and then explain that the reason it is retained is because one of the stated aims of the EUWA is to incorporate EU law into domestic law. To incorporate EU law into the domestic statute book w</w:t>
      </w:r>
      <w:r w:rsidR="00FD7E61">
        <w:rPr>
          <w:rFonts w:ascii="Arial" w:hAnsi="Arial" w:cs="Arial"/>
        </w:rPr>
        <w:t xml:space="preserve">hile </w:t>
      </w:r>
      <w:r w:rsidRPr="006C135D">
        <w:rPr>
          <w:rFonts w:ascii="Arial" w:hAnsi="Arial" w:cs="Arial"/>
        </w:rPr>
        <w:t>retaining the principle would imbalance the statute book. It is logically consistent therefore that when retained EU is being abolished the principle should be disapplied also.</w:t>
      </w:r>
    </w:p>
    <w:p w14:paraId="2E68FB60" w14:textId="0C80553D" w:rsidR="00FD7E61" w:rsidRDefault="00FD7E61" w:rsidP="005D3D49">
      <w:pPr>
        <w:pStyle w:val="BodyA"/>
        <w:rPr>
          <w:rFonts w:ascii="Arial" w:hAnsi="Arial" w:cs="Arial"/>
        </w:rPr>
      </w:pPr>
    </w:p>
    <w:p w14:paraId="2C34235C" w14:textId="208DDB08" w:rsidR="00FD7E61" w:rsidRPr="00954B81" w:rsidRDefault="00FD7E61" w:rsidP="005D3D49">
      <w:pPr>
        <w:pStyle w:val="BodyA"/>
        <w:rPr>
          <w:rFonts w:ascii="Arial" w:hAnsi="Arial" w:cs="Arial"/>
          <w:color w:val="auto"/>
        </w:rPr>
      </w:pPr>
      <w:r w:rsidRPr="00954B81">
        <w:rPr>
          <w:rFonts w:ascii="Arial" w:hAnsi="Arial" w:cs="Arial"/>
          <w:color w:val="auto"/>
        </w:rPr>
        <w:t>However, w</w:t>
      </w:r>
      <w:r w:rsidR="002A4E56">
        <w:rPr>
          <w:rFonts w:ascii="Arial" w:hAnsi="Arial" w:cs="Arial"/>
          <w:color w:val="auto"/>
        </w:rPr>
        <w:t>e question whether</w:t>
      </w:r>
      <w:r w:rsidRPr="00954B81">
        <w:rPr>
          <w:rFonts w:ascii="Arial" w:hAnsi="Arial" w:cs="Arial"/>
          <w:color w:val="auto"/>
        </w:rPr>
        <w:t xml:space="preserve"> the abolition of this principle </w:t>
      </w:r>
      <w:r w:rsidR="002A4E56">
        <w:rPr>
          <w:rFonts w:ascii="Arial" w:hAnsi="Arial" w:cs="Arial"/>
          <w:color w:val="auto"/>
        </w:rPr>
        <w:t xml:space="preserve">will not </w:t>
      </w:r>
      <w:r w:rsidRPr="00954B81">
        <w:rPr>
          <w:rFonts w:ascii="Arial" w:hAnsi="Arial" w:cs="Arial"/>
          <w:color w:val="auto"/>
        </w:rPr>
        <w:t>affect the interpretation of EU law when it becomes assimilated and is this not a factor to be taken into account in considering how to assimilate that law?</w:t>
      </w:r>
    </w:p>
    <w:p w14:paraId="76F0FFA7" w14:textId="77777777" w:rsidR="002F1595" w:rsidRPr="006C135D" w:rsidRDefault="002F1595" w:rsidP="005D3D49">
      <w:pPr>
        <w:pStyle w:val="BodyA"/>
        <w:rPr>
          <w:rFonts w:ascii="Arial" w:hAnsi="Arial" w:cs="Arial"/>
        </w:rPr>
      </w:pPr>
    </w:p>
    <w:p w14:paraId="168C93C5" w14:textId="6F0356A0" w:rsidR="002F1595"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5</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Abolition of general principles of EU law</w:t>
      </w:r>
    </w:p>
    <w:p w14:paraId="6E1F1FC0" w14:textId="3B11EAAF" w:rsidR="00FD7E61" w:rsidRDefault="00FD7E61" w:rsidP="005D3D49">
      <w:pPr>
        <w:pStyle w:val="BodyA"/>
        <w:rPr>
          <w:rFonts w:ascii="Arial" w:hAnsi="Arial" w:cs="Arial"/>
          <w:b/>
          <w:bCs/>
          <w:color w:val="244061" w:themeColor="accent1" w:themeShade="80"/>
        </w:rPr>
      </w:pPr>
    </w:p>
    <w:p w14:paraId="3964FEA3" w14:textId="4DDB89F7" w:rsidR="00FD7E61" w:rsidRPr="00FD7E61" w:rsidRDefault="00FD7E61" w:rsidP="005D3D49">
      <w:pPr>
        <w:pStyle w:val="BodyA"/>
        <w:rPr>
          <w:rFonts w:ascii="Arial" w:hAnsi="Arial" w:cs="Arial"/>
          <w:color w:val="auto"/>
        </w:rPr>
      </w:pPr>
      <w:r w:rsidRPr="00954B81">
        <w:rPr>
          <w:rFonts w:ascii="Arial" w:hAnsi="Arial" w:cs="Arial"/>
          <w:color w:val="auto"/>
        </w:rPr>
        <w:t>This clause amends EUWA so that the general principles of EU law are not part of domestic law as from the end of 2023.</w:t>
      </w:r>
    </w:p>
    <w:p w14:paraId="2A0DA7D6" w14:textId="77777777" w:rsidR="002F1595" w:rsidRPr="006C135D" w:rsidRDefault="002F1595" w:rsidP="005D3D49">
      <w:pPr>
        <w:pStyle w:val="BodyA"/>
        <w:rPr>
          <w:rFonts w:ascii="Arial" w:hAnsi="Arial" w:cs="Arial"/>
        </w:rPr>
      </w:pPr>
    </w:p>
    <w:p w14:paraId="68EC8A37" w14:textId="480ECA6B" w:rsidR="002F1595" w:rsidRDefault="002F1595" w:rsidP="005D3D49">
      <w:pPr>
        <w:pStyle w:val="BodyA"/>
        <w:rPr>
          <w:rFonts w:ascii="Arial" w:hAnsi="Arial" w:cs="Arial"/>
          <w:b/>
          <w:bCs/>
        </w:rPr>
      </w:pPr>
      <w:r w:rsidRPr="006C135D">
        <w:rPr>
          <w:rFonts w:ascii="Arial" w:hAnsi="Arial" w:cs="Arial"/>
          <w:b/>
          <w:bCs/>
        </w:rPr>
        <w:t xml:space="preserve">Our Comment </w:t>
      </w:r>
    </w:p>
    <w:p w14:paraId="7A7839EB" w14:textId="7152DE69" w:rsidR="00FD7E61" w:rsidRDefault="00FD7E61" w:rsidP="005D3D49">
      <w:pPr>
        <w:pStyle w:val="BodyA"/>
        <w:rPr>
          <w:rFonts w:ascii="Arial" w:hAnsi="Arial" w:cs="Arial"/>
          <w:b/>
          <w:bCs/>
        </w:rPr>
      </w:pPr>
    </w:p>
    <w:p w14:paraId="132B4DAB" w14:textId="7CB0BF9C" w:rsidR="00FD7E61" w:rsidRPr="006C135D" w:rsidRDefault="00FD7E61" w:rsidP="005D3D49">
      <w:pPr>
        <w:pStyle w:val="BodyA"/>
        <w:rPr>
          <w:rFonts w:ascii="Arial" w:hAnsi="Arial" w:cs="Arial"/>
          <w:b/>
          <w:bCs/>
        </w:rPr>
      </w:pPr>
      <w:r>
        <w:rPr>
          <w:rFonts w:ascii="Arial" w:hAnsi="Arial" w:cs="Arial"/>
          <w:color w:val="auto"/>
        </w:rPr>
        <w:t>W</w:t>
      </w:r>
      <w:r w:rsidRPr="00954B81">
        <w:rPr>
          <w:rFonts w:ascii="Arial" w:hAnsi="Arial" w:cs="Arial"/>
          <w:color w:val="auto"/>
        </w:rPr>
        <w:t>ill not the abolition of these general principle</w:t>
      </w:r>
      <w:r>
        <w:rPr>
          <w:rFonts w:ascii="Arial" w:hAnsi="Arial" w:cs="Arial"/>
          <w:color w:val="auto"/>
        </w:rPr>
        <w:t>s</w:t>
      </w:r>
      <w:r w:rsidRPr="00954B81">
        <w:rPr>
          <w:rFonts w:ascii="Arial" w:hAnsi="Arial" w:cs="Arial"/>
          <w:color w:val="auto"/>
        </w:rPr>
        <w:t xml:space="preserve"> affect the interpretation of EU law when it becomes assimilated and is this not a factor to be taken into account in considering how to assimilate that law?</w:t>
      </w:r>
    </w:p>
    <w:p w14:paraId="557F5923" w14:textId="77777777" w:rsidR="002F1595" w:rsidRPr="006C135D" w:rsidRDefault="002F1595" w:rsidP="005D3D49">
      <w:pPr>
        <w:pStyle w:val="BodyA"/>
        <w:rPr>
          <w:rFonts w:ascii="Arial" w:hAnsi="Arial" w:cs="Arial"/>
          <w:b/>
          <w:bCs/>
        </w:rPr>
      </w:pPr>
    </w:p>
    <w:p w14:paraId="49866175" w14:textId="77777777" w:rsidR="002F1595" w:rsidRPr="006C135D" w:rsidRDefault="002F1595" w:rsidP="005D3D49">
      <w:pPr>
        <w:pStyle w:val="BodyA"/>
        <w:rPr>
          <w:rFonts w:ascii="Arial" w:hAnsi="Arial" w:cs="Arial"/>
        </w:rPr>
      </w:pPr>
      <w:r w:rsidRPr="006C135D">
        <w:rPr>
          <w:rFonts w:ascii="Arial" w:hAnsi="Arial" w:cs="Arial"/>
        </w:rPr>
        <w:t xml:space="preserve">Clause 5 amends various sections of the EUWA, so that retained general principles of EU law are no longer part of UK law from the end of 2023. </w:t>
      </w:r>
    </w:p>
    <w:p w14:paraId="4355A962" w14:textId="77777777" w:rsidR="002F1595" w:rsidRPr="006C135D" w:rsidRDefault="002F1595" w:rsidP="005D3D49">
      <w:pPr>
        <w:pStyle w:val="BodyA"/>
        <w:rPr>
          <w:rFonts w:ascii="Arial" w:hAnsi="Arial" w:cs="Arial"/>
        </w:rPr>
      </w:pPr>
    </w:p>
    <w:p w14:paraId="3AD0137D" w14:textId="5BA43D43" w:rsidR="002F1595" w:rsidRPr="006C135D" w:rsidRDefault="002F1595" w:rsidP="005D3D49">
      <w:pPr>
        <w:pStyle w:val="BodyA"/>
        <w:rPr>
          <w:rFonts w:ascii="Arial" w:hAnsi="Arial" w:cs="Arial"/>
        </w:rPr>
      </w:pPr>
      <w:r w:rsidRPr="006C135D">
        <w:rPr>
          <w:rFonts w:ascii="Arial" w:hAnsi="Arial" w:cs="Arial"/>
        </w:rPr>
        <w:t>This clause will achieve the Government’s policy of removing retained general principles of EU law.</w:t>
      </w:r>
    </w:p>
    <w:p w14:paraId="5A56EB52" w14:textId="77777777" w:rsidR="002F1595" w:rsidRPr="006C135D" w:rsidRDefault="002F1595" w:rsidP="005D3D49">
      <w:pPr>
        <w:pStyle w:val="BodyA"/>
        <w:rPr>
          <w:rFonts w:ascii="Arial" w:hAnsi="Arial" w:cs="Arial"/>
        </w:rPr>
      </w:pPr>
    </w:p>
    <w:p w14:paraId="2DDABA6B" w14:textId="21AD0DCC" w:rsidR="00FD7E61"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6</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w:t>
      </w:r>
      <w:r w:rsidRPr="006C135D">
        <w:rPr>
          <w:rFonts w:ascii="Arial" w:hAnsi="Arial" w:cs="Arial"/>
          <w:b/>
          <w:bCs/>
          <w:color w:val="244061" w:themeColor="accent1" w:themeShade="80"/>
          <w:rtl/>
          <w:lang w:val="ar-SA"/>
        </w:rPr>
        <w:t>“</w:t>
      </w:r>
      <w:r w:rsidRPr="006C135D">
        <w:rPr>
          <w:rFonts w:ascii="Arial" w:hAnsi="Arial" w:cs="Arial"/>
          <w:b/>
          <w:bCs/>
          <w:color w:val="244061" w:themeColor="accent1" w:themeShade="80"/>
        </w:rPr>
        <w:t>Assimilated law”</w:t>
      </w:r>
    </w:p>
    <w:p w14:paraId="06F71B5D" w14:textId="77777777" w:rsidR="00FD7E61" w:rsidRPr="00FD7E61" w:rsidRDefault="00FD7E61" w:rsidP="005D3D49">
      <w:pPr>
        <w:pStyle w:val="BodyA"/>
        <w:rPr>
          <w:rFonts w:ascii="Arial" w:hAnsi="Arial" w:cs="Arial"/>
          <w:b/>
          <w:bCs/>
          <w:color w:val="244061" w:themeColor="accent1" w:themeShade="80"/>
        </w:rPr>
      </w:pPr>
    </w:p>
    <w:p w14:paraId="3B2E5577" w14:textId="04685DCD" w:rsidR="00FD7E61" w:rsidRPr="00FD7E61" w:rsidRDefault="00FD7E61" w:rsidP="005D3D49">
      <w:pPr>
        <w:pStyle w:val="BodyA"/>
        <w:rPr>
          <w:rFonts w:ascii="Arial" w:hAnsi="Arial" w:cs="Arial"/>
          <w:color w:val="auto"/>
        </w:rPr>
      </w:pPr>
      <w:r w:rsidRPr="00FD7E61">
        <w:rPr>
          <w:rFonts w:ascii="Arial" w:hAnsi="Arial" w:cs="Arial"/>
          <w:color w:val="auto"/>
        </w:rPr>
        <w:t xml:space="preserve">Clause 6(1) provides that, after the end of 2023, any </w:t>
      </w:r>
      <w:r>
        <w:rPr>
          <w:rFonts w:ascii="Arial" w:hAnsi="Arial" w:cs="Arial"/>
          <w:color w:val="auto"/>
        </w:rPr>
        <w:t>R</w:t>
      </w:r>
      <w:r w:rsidRPr="00FD7E61">
        <w:rPr>
          <w:rFonts w:ascii="Arial" w:hAnsi="Arial" w:cs="Arial"/>
          <w:color w:val="auto"/>
        </w:rPr>
        <w:t xml:space="preserve">EUL which remains in force is to be known as “assimilated law”. This introduces the concept of assimilated law as a new body of law. </w:t>
      </w:r>
    </w:p>
    <w:p w14:paraId="7B9191B7" w14:textId="77777777" w:rsidR="00FD7E61" w:rsidRPr="00FD7E61" w:rsidRDefault="00FD7E61" w:rsidP="005D3D49">
      <w:pPr>
        <w:pStyle w:val="BodyA"/>
        <w:rPr>
          <w:rFonts w:ascii="Arial" w:hAnsi="Arial" w:cs="Arial"/>
          <w:color w:val="auto"/>
        </w:rPr>
      </w:pPr>
    </w:p>
    <w:p w14:paraId="1A90115E" w14:textId="5C7E60E0" w:rsidR="00FD7E61" w:rsidRPr="00FD7E61" w:rsidRDefault="00FD7E61" w:rsidP="005D3D49">
      <w:pPr>
        <w:pStyle w:val="BodyA"/>
        <w:rPr>
          <w:rFonts w:ascii="Arial" w:hAnsi="Arial" w:cs="Arial"/>
          <w:color w:val="auto"/>
        </w:rPr>
      </w:pPr>
      <w:r w:rsidRPr="00FD7E61">
        <w:rPr>
          <w:rFonts w:ascii="Arial" w:hAnsi="Arial" w:cs="Arial"/>
          <w:color w:val="auto"/>
        </w:rPr>
        <w:t xml:space="preserve">Clause 6(2) provides that, in consequence of subsection (1), provision may be made by regulations under clause 19 (power to make consequential provision) of the Bill to amend EUWA so that references to “retained EU law” and similar terms may be changed to references to assimilated law. </w:t>
      </w:r>
    </w:p>
    <w:p w14:paraId="1D5E6A5A" w14:textId="77777777" w:rsidR="002F1595" w:rsidRPr="006C135D" w:rsidRDefault="002F1595" w:rsidP="005D3D49">
      <w:pPr>
        <w:pStyle w:val="BodyA"/>
        <w:rPr>
          <w:rFonts w:ascii="Arial" w:hAnsi="Arial" w:cs="Arial"/>
        </w:rPr>
      </w:pPr>
    </w:p>
    <w:p w14:paraId="53A00921" w14:textId="77777777" w:rsidR="002F1595" w:rsidRPr="006C135D" w:rsidRDefault="002F1595" w:rsidP="005D3D49">
      <w:pPr>
        <w:pStyle w:val="BodyA"/>
        <w:rPr>
          <w:rFonts w:ascii="Arial" w:hAnsi="Arial" w:cs="Arial"/>
        </w:rPr>
      </w:pPr>
    </w:p>
    <w:p w14:paraId="3D8B103A" w14:textId="30360567" w:rsidR="002F1595" w:rsidRDefault="002F1595" w:rsidP="005D3D49">
      <w:pPr>
        <w:pStyle w:val="BodyA"/>
        <w:rPr>
          <w:rFonts w:ascii="Arial" w:hAnsi="Arial" w:cs="Arial"/>
          <w:i/>
          <w:iCs/>
        </w:rPr>
      </w:pPr>
      <w:r w:rsidRPr="006C135D">
        <w:rPr>
          <w:rFonts w:ascii="Arial" w:hAnsi="Arial" w:cs="Arial"/>
          <w:i/>
          <w:iCs/>
        </w:rPr>
        <w:t>Interpretation and effect of retained EU law</w:t>
      </w:r>
    </w:p>
    <w:p w14:paraId="5D9E624B" w14:textId="77777777" w:rsidR="006C135D" w:rsidRDefault="006C135D" w:rsidP="005D3D49">
      <w:pPr>
        <w:pStyle w:val="BodyA"/>
        <w:rPr>
          <w:rFonts w:ascii="Arial" w:hAnsi="Arial" w:cs="Arial"/>
        </w:rPr>
      </w:pPr>
    </w:p>
    <w:p w14:paraId="6363AE1E" w14:textId="202DC0F9" w:rsidR="002F1595" w:rsidRPr="006C135D" w:rsidRDefault="002F1595" w:rsidP="005D3D49">
      <w:pPr>
        <w:pStyle w:val="BodyA"/>
        <w:rPr>
          <w:rFonts w:ascii="Arial" w:hAnsi="Arial" w:cs="Arial"/>
          <w:b/>
          <w:bCs/>
        </w:rPr>
      </w:pPr>
      <w:r w:rsidRPr="006C135D">
        <w:rPr>
          <w:rFonts w:ascii="Arial" w:hAnsi="Arial" w:cs="Arial"/>
          <w:b/>
          <w:bCs/>
          <w:color w:val="244061" w:themeColor="accent1" w:themeShade="80"/>
        </w:rPr>
        <w:t>7</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Role of courts</w:t>
      </w:r>
    </w:p>
    <w:p w14:paraId="021B9CD4" w14:textId="77777777" w:rsidR="002F1595" w:rsidRPr="006C135D" w:rsidRDefault="002F1595" w:rsidP="005D3D49">
      <w:pPr>
        <w:pStyle w:val="BodyA"/>
        <w:rPr>
          <w:rFonts w:ascii="Arial" w:hAnsi="Arial" w:cs="Arial"/>
        </w:rPr>
      </w:pPr>
    </w:p>
    <w:p w14:paraId="0191EBB8" w14:textId="0A3450FB" w:rsidR="002F1595" w:rsidRDefault="002F1595" w:rsidP="005D3D49">
      <w:pPr>
        <w:pStyle w:val="BodyA"/>
        <w:rPr>
          <w:rFonts w:ascii="Arial" w:hAnsi="Arial" w:cs="Arial"/>
          <w:b/>
          <w:bCs/>
        </w:rPr>
      </w:pPr>
      <w:r w:rsidRPr="006C135D">
        <w:rPr>
          <w:rFonts w:ascii="Arial" w:hAnsi="Arial" w:cs="Arial"/>
          <w:b/>
          <w:bCs/>
        </w:rPr>
        <w:t xml:space="preserve">Our Comment </w:t>
      </w:r>
    </w:p>
    <w:p w14:paraId="14137472" w14:textId="77777777" w:rsidR="00E12DB3" w:rsidRPr="006C135D" w:rsidRDefault="00E12DB3" w:rsidP="005D3D49">
      <w:pPr>
        <w:pStyle w:val="BodyA"/>
        <w:rPr>
          <w:rFonts w:ascii="Arial" w:hAnsi="Arial" w:cs="Arial"/>
          <w:b/>
          <w:bCs/>
        </w:rPr>
      </w:pPr>
    </w:p>
    <w:p w14:paraId="23D3836B" w14:textId="57B9F7DE" w:rsidR="00E12DB3" w:rsidRDefault="002F1595" w:rsidP="005D3D49">
      <w:pPr>
        <w:pStyle w:val="BodyA"/>
        <w:rPr>
          <w:rFonts w:ascii="Arial" w:hAnsi="Arial" w:cs="Arial"/>
          <w:color w:val="auto"/>
        </w:rPr>
      </w:pPr>
      <w:r w:rsidRPr="006C135D">
        <w:rPr>
          <w:rFonts w:ascii="Arial" w:hAnsi="Arial" w:cs="Arial"/>
        </w:rPr>
        <w:t>Clause 7 amend</w:t>
      </w:r>
      <w:r w:rsidR="00E12DB3">
        <w:rPr>
          <w:rFonts w:ascii="Arial" w:hAnsi="Arial" w:cs="Arial"/>
        </w:rPr>
        <w:t>s</w:t>
      </w:r>
      <w:r w:rsidRPr="006C135D">
        <w:rPr>
          <w:rFonts w:ascii="Arial" w:hAnsi="Arial" w:cs="Arial"/>
        </w:rPr>
        <w:t xml:space="preserve"> section 6 of the EUWA which dealt with the interpretation of </w:t>
      </w:r>
      <w:r w:rsidR="00E12DB3">
        <w:rPr>
          <w:rFonts w:ascii="Arial" w:hAnsi="Arial" w:cs="Arial"/>
        </w:rPr>
        <w:t>R</w:t>
      </w:r>
      <w:r w:rsidRPr="006C135D">
        <w:rPr>
          <w:rFonts w:ascii="Arial" w:hAnsi="Arial" w:cs="Arial"/>
        </w:rPr>
        <w:t>EU</w:t>
      </w:r>
      <w:r w:rsidR="00E12DB3">
        <w:rPr>
          <w:rFonts w:ascii="Arial" w:hAnsi="Arial" w:cs="Arial"/>
        </w:rPr>
        <w:t>L</w:t>
      </w:r>
      <w:r w:rsidRPr="006C135D">
        <w:rPr>
          <w:rFonts w:ascii="Arial" w:hAnsi="Arial" w:cs="Arial"/>
        </w:rPr>
        <w:t xml:space="preserve">. </w:t>
      </w:r>
      <w:r w:rsidR="00E12DB3" w:rsidRPr="00954B81">
        <w:rPr>
          <w:rFonts w:ascii="Arial" w:hAnsi="Arial" w:cs="Arial"/>
          <w:color w:val="auto"/>
        </w:rPr>
        <w:t>and the application of retained case law by domestic courts.</w:t>
      </w:r>
    </w:p>
    <w:p w14:paraId="1466F3CA" w14:textId="77777777" w:rsidR="00E12DB3" w:rsidRDefault="00E12DB3" w:rsidP="005D3D49">
      <w:pPr>
        <w:pStyle w:val="BodyA"/>
        <w:rPr>
          <w:rFonts w:ascii="Arial" w:hAnsi="Arial" w:cs="Arial"/>
          <w:color w:val="auto"/>
        </w:rPr>
      </w:pPr>
    </w:p>
    <w:p w14:paraId="0015604C" w14:textId="65558D1C" w:rsidR="00E12DB3" w:rsidRDefault="00E12DB3" w:rsidP="005D3D49">
      <w:pPr>
        <w:pStyle w:val="BodyA"/>
        <w:rPr>
          <w:rFonts w:ascii="Arial" w:hAnsi="Arial" w:cs="Arial"/>
          <w:color w:val="auto"/>
        </w:rPr>
      </w:pPr>
      <w:r w:rsidRPr="00954B81">
        <w:rPr>
          <w:rFonts w:ascii="Arial" w:hAnsi="Arial" w:cs="Arial"/>
          <w:color w:val="auto"/>
        </w:rPr>
        <w:t xml:space="preserve">As the amendments made by clause 7 are quite complicated and convoluted, it is difficult to understand the effect of the amended provisions. </w:t>
      </w:r>
      <w:r w:rsidR="002A4E56">
        <w:rPr>
          <w:rFonts w:ascii="Arial" w:hAnsi="Arial" w:cs="Arial"/>
          <w:color w:val="auto"/>
        </w:rPr>
        <w:t>We</w:t>
      </w:r>
      <w:r w:rsidRPr="00954B81">
        <w:rPr>
          <w:rFonts w:ascii="Arial" w:hAnsi="Arial" w:cs="Arial"/>
          <w:color w:val="auto"/>
        </w:rPr>
        <w:t xml:space="preserve"> therefore suggest that it would be clearer if clause 7 simply substituted a new section 6 of EUWA</w:t>
      </w:r>
      <w:r>
        <w:rPr>
          <w:rFonts w:ascii="Arial" w:hAnsi="Arial" w:cs="Arial"/>
          <w:color w:val="auto"/>
        </w:rPr>
        <w:t>.</w:t>
      </w:r>
    </w:p>
    <w:p w14:paraId="14B0D667" w14:textId="77777777" w:rsidR="002F1595" w:rsidRPr="006C135D" w:rsidRDefault="002F1595" w:rsidP="005D3D49">
      <w:pPr>
        <w:pStyle w:val="BodyA"/>
        <w:rPr>
          <w:rFonts w:ascii="Arial" w:hAnsi="Arial" w:cs="Arial"/>
        </w:rPr>
      </w:pPr>
    </w:p>
    <w:p w14:paraId="2E7CFE49" w14:textId="6AFC9F26" w:rsidR="00C97201" w:rsidRDefault="002F1595" w:rsidP="005D3D49">
      <w:pPr>
        <w:pStyle w:val="BodyA"/>
        <w:rPr>
          <w:rFonts w:ascii="Arial" w:hAnsi="Arial" w:cs="Arial"/>
        </w:rPr>
      </w:pPr>
      <w:r w:rsidRPr="006C135D">
        <w:rPr>
          <w:rFonts w:ascii="Arial" w:hAnsi="Arial" w:cs="Arial"/>
        </w:rPr>
        <w:t xml:space="preserve">New Section 6B </w:t>
      </w:r>
      <w:r w:rsidR="00E12DB3" w:rsidRPr="00954B81">
        <w:rPr>
          <w:rFonts w:ascii="Arial" w:hAnsi="Arial" w:cs="Arial"/>
          <w:color w:val="auto"/>
        </w:rPr>
        <w:t>which clause 7(8) proposes to insert into the EUWA</w:t>
      </w:r>
      <w:r w:rsidR="00E12DB3">
        <w:rPr>
          <w:rFonts w:ascii="Arial" w:hAnsi="Arial" w:cs="Arial"/>
          <w:color w:val="auto"/>
        </w:rPr>
        <w:t xml:space="preserve"> </w:t>
      </w:r>
      <w:r w:rsidRPr="006C135D">
        <w:rPr>
          <w:rFonts w:ascii="Arial" w:hAnsi="Arial" w:cs="Arial"/>
        </w:rPr>
        <w:t xml:space="preserve">provides that UK or </w:t>
      </w:r>
      <w:r w:rsidR="00E12DB3">
        <w:rPr>
          <w:rFonts w:ascii="Arial" w:hAnsi="Arial" w:cs="Arial"/>
        </w:rPr>
        <w:t>d</w:t>
      </w:r>
      <w:r w:rsidRPr="006C135D">
        <w:rPr>
          <w:rFonts w:ascii="Arial" w:hAnsi="Arial" w:cs="Arial"/>
        </w:rPr>
        <w:t>evolved Law Officers can</w:t>
      </w:r>
      <w:r w:rsidR="002A4E56" w:rsidRPr="002A4E56">
        <w:rPr>
          <w:rFonts w:ascii="Arial" w:hAnsi="Arial" w:cs="Arial"/>
        </w:rPr>
        <w:t xml:space="preserve"> </w:t>
      </w:r>
      <w:r w:rsidR="002A4E56" w:rsidRPr="006C135D">
        <w:rPr>
          <w:rFonts w:ascii="Arial" w:hAnsi="Arial" w:cs="Arial"/>
        </w:rPr>
        <w:t>make a reference</w:t>
      </w:r>
      <w:r w:rsidR="002A4E56">
        <w:rPr>
          <w:rFonts w:ascii="Arial" w:hAnsi="Arial" w:cs="Arial"/>
        </w:rPr>
        <w:t xml:space="preserve"> to </w:t>
      </w:r>
      <w:r w:rsidR="002A4E56" w:rsidRPr="006C135D">
        <w:rPr>
          <w:rFonts w:ascii="Arial" w:hAnsi="Arial" w:cs="Arial"/>
        </w:rPr>
        <w:t>the Supreme Court,</w:t>
      </w:r>
      <w:r w:rsidR="002A4E56">
        <w:rPr>
          <w:rFonts w:ascii="Arial" w:hAnsi="Arial" w:cs="Arial"/>
        </w:rPr>
        <w:t xml:space="preserve"> </w:t>
      </w:r>
      <w:r w:rsidR="002A4E56" w:rsidRPr="006C135D">
        <w:rPr>
          <w:rFonts w:ascii="Arial" w:hAnsi="Arial" w:cs="Arial"/>
        </w:rPr>
        <w:t>the High Court of Justiciary or to the appropriate relevant appeal court (as defined by section 6A)</w:t>
      </w:r>
      <w:r w:rsidR="00C97201">
        <w:rPr>
          <w:rFonts w:ascii="Arial" w:hAnsi="Arial" w:cs="Arial"/>
        </w:rPr>
        <w:t>:</w:t>
      </w:r>
      <w:r w:rsidRPr="006C135D">
        <w:rPr>
          <w:rFonts w:ascii="Arial" w:hAnsi="Arial" w:cs="Arial"/>
        </w:rPr>
        <w:t xml:space="preserve"> </w:t>
      </w:r>
    </w:p>
    <w:p w14:paraId="421FC538" w14:textId="77777777" w:rsidR="00C97201" w:rsidRDefault="002F1595" w:rsidP="005D3D49">
      <w:pPr>
        <w:pStyle w:val="BodyA"/>
        <w:rPr>
          <w:rFonts w:ascii="Arial" w:hAnsi="Arial" w:cs="Arial"/>
        </w:rPr>
      </w:pPr>
      <w:r w:rsidRPr="006C135D">
        <w:rPr>
          <w:rFonts w:ascii="Arial" w:hAnsi="Arial" w:cs="Arial"/>
        </w:rPr>
        <w:t xml:space="preserve">(a) where proceedings before a court or tribunal (other than a higher court) have concluded, </w:t>
      </w:r>
    </w:p>
    <w:p w14:paraId="7196246F" w14:textId="77777777" w:rsidR="00C97201" w:rsidRDefault="002F1595" w:rsidP="005D3D49">
      <w:pPr>
        <w:pStyle w:val="BodyA"/>
        <w:rPr>
          <w:rFonts w:ascii="Arial" w:hAnsi="Arial" w:cs="Arial"/>
        </w:rPr>
      </w:pPr>
      <w:r w:rsidRPr="006C135D">
        <w:rPr>
          <w:rFonts w:ascii="Arial" w:hAnsi="Arial" w:cs="Arial"/>
        </w:rPr>
        <w:t xml:space="preserve">(b) no reference was made under section 6A in relation to the proceedings, and </w:t>
      </w:r>
    </w:p>
    <w:p w14:paraId="5F1DF666" w14:textId="7D4B9BDA" w:rsidR="002F1595" w:rsidRPr="00E12DB3" w:rsidRDefault="002F1595" w:rsidP="005D3D49">
      <w:pPr>
        <w:pStyle w:val="BodyA"/>
        <w:rPr>
          <w:rFonts w:ascii="Arial" w:hAnsi="Arial" w:cs="Arial"/>
          <w:color w:val="auto"/>
        </w:rPr>
      </w:pPr>
      <w:r w:rsidRPr="006C135D">
        <w:rPr>
          <w:rFonts w:ascii="Arial" w:hAnsi="Arial" w:cs="Arial"/>
        </w:rPr>
        <w:t xml:space="preserve">(c) either— (i) there has been no appeal, or (ii) any appeal has been finally dealt with otherwise than by a higher court. </w:t>
      </w:r>
    </w:p>
    <w:p w14:paraId="1B827DC0" w14:textId="77777777" w:rsidR="002F1595" w:rsidRPr="006C135D" w:rsidRDefault="002F1595" w:rsidP="005D3D49">
      <w:pPr>
        <w:pStyle w:val="BodyA"/>
        <w:rPr>
          <w:rFonts w:ascii="Arial" w:hAnsi="Arial" w:cs="Arial"/>
        </w:rPr>
      </w:pPr>
    </w:p>
    <w:p w14:paraId="781EE84B" w14:textId="5202C24A" w:rsidR="002F1595" w:rsidRDefault="00C97201" w:rsidP="005D3D49">
      <w:pPr>
        <w:pStyle w:val="BodyA"/>
        <w:rPr>
          <w:rFonts w:ascii="Arial" w:hAnsi="Arial" w:cs="Arial"/>
        </w:rPr>
      </w:pPr>
      <w:r w:rsidRPr="00C97201">
        <w:rPr>
          <w:rFonts w:ascii="Arial" w:hAnsi="Arial" w:cs="Arial"/>
          <w:color w:val="auto"/>
        </w:rPr>
        <w:t>Even although section 6</w:t>
      </w:r>
      <w:r w:rsidR="002A4E56" w:rsidRPr="00C97201">
        <w:rPr>
          <w:rFonts w:ascii="Arial" w:hAnsi="Arial" w:cs="Arial"/>
          <w:color w:val="auto"/>
        </w:rPr>
        <w:t>B(</w:t>
      </w:r>
      <w:r w:rsidRPr="00C97201">
        <w:rPr>
          <w:rFonts w:ascii="Arial" w:hAnsi="Arial" w:cs="Arial"/>
          <w:color w:val="auto"/>
        </w:rPr>
        <w:t xml:space="preserve">7) provides </w:t>
      </w:r>
      <w:r w:rsidR="00B96388" w:rsidRPr="00C97201">
        <w:rPr>
          <w:rFonts w:ascii="Arial" w:hAnsi="Arial" w:cs="Arial"/>
          <w:color w:val="auto"/>
        </w:rPr>
        <w:t>that “</w:t>
      </w:r>
      <w:r w:rsidRPr="00C97201">
        <w:rPr>
          <w:rFonts w:ascii="Arial" w:hAnsi="Arial" w:cs="Arial"/>
          <w:color w:val="auto"/>
        </w:rPr>
        <w:t xml:space="preserve">[any decision by the court to which reference is made] does not affect the outcome of the proceedings…”, </w:t>
      </w:r>
      <w:r>
        <w:rPr>
          <w:rFonts w:ascii="Arial" w:hAnsi="Arial" w:cs="Arial"/>
        </w:rPr>
        <w:t>w</w:t>
      </w:r>
      <w:r w:rsidR="002F1595" w:rsidRPr="006C135D">
        <w:rPr>
          <w:rFonts w:ascii="Arial" w:hAnsi="Arial" w:cs="Arial"/>
        </w:rPr>
        <w:t xml:space="preserve">e consider it contrary to the interests of justice that the Law Officers can be empowered to make a reference in a </w:t>
      </w:r>
      <w:r>
        <w:rPr>
          <w:rFonts w:ascii="Arial" w:hAnsi="Arial" w:cs="Arial"/>
        </w:rPr>
        <w:t xml:space="preserve">civil </w:t>
      </w:r>
      <w:r w:rsidR="002F1595" w:rsidRPr="006C135D">
        <w:rPr>
          <w:rFonts w:ascii="Arial" w:hAnsi="Arial" w:cs="Arial"/>
        </w:rPr>
        <w:t xml:space="preserve">case which has been concluded and where there has been either no appeal or the appeal itself has been concluded. This contravention of the principle of finality and interference by the State in civil litigation needs to be explained and justified by the Government.  </w:t>
      </w:r>
    </w:p>
    <w:p w14:paraId="4AF3C467" w14:textId="04C27D60" w:rsidR="0060435D" w:rsidRDefault="0060435D" w:rsidP="005D3D49">
      <w:pPr>
        <w:pStyle w:val="BodyA"/>
        <w:rPr>
          <w:rFonts w:ascii="Arial" w:hAnsi="Arial" w:cs="Arial"/>
        </w:rPr>
      </w:pPr>
    </w:p>
    <w:p w14:paraId="34506E7E" w14:textId="2E54D415" w:rsidR="0060435D" w:rsidRPr="00C97201" w:rsidRDefault="0060435D" w:rsidP="005D3D49">
      <w:pPr>
        <w:pStyle w:val="BodyA"/>
        <w:rPr>
          <w:rFonts w:ascii="Arial" w:hAnsi="Arial" w:cs="Arial"/>
          <w:color w:val="auto"/>
        </w:rPr>
      </w:pPr>
      <w:r>
        <w:rPr>
          <w:rFonts w:eastAsia="Times New Roman"/>
        </w:rPr>
        <w:t>Moreover, this innovation would apply only on a point of law “on retained case law”, thus diluting the unity of the civil law.  Further, any such power of reference would not be comparable, for instance, to the role of the Attorney General or the Lord Advocate in criminal proceedings.  There, such Law Officers have a direct interest and an integral role to play in all such proceedings, including instituting appeals or references on points of law.   Law Officers do not currently have that role in civil proceedings, and it remains to be seen why they should have it in respect of one particular category of civil case law.</w:t>
      </w:r>
    </w:p>
    <w:p w14:paraId="54C27244" w14:textId="77777777" w:rsidR="002F1595" w:rsidRPr="006C135D" w:rsidRDefault="002F1595" w:rsidP="005D3D49">
      <w:pPr>
        <w:pStyle w:val="BodyA"/>
        <w:rPr>
          <w:rFonts w:ascii="Arial" w:hAnsi="Arial" w:cs="Arial"/>
        </w:rPr>
      </w:pPr>
    </w:p>
    <w:p w14:paraId="42A67FA2" w14:textId="134D6F53" w:rsidR="002F1595" w:rsidRPr="006C135D" w:rsidRDefault="002F1595" w:rsidP="005D3D49">
      <w:pPr>
        <w:pStyle w:val="BodyA"/>
        <w:rPr>
          <w:rFonts w:ascii="Arial" w:hAnsi="Arial" w:cs="Arial"/>
        </w:rPr>
      </w:pPr>
      <w:r w:rsidRPr="006C135D">
        <w:rPr>
          <w:rFonts w:ascii="Arial" w:hAnsi="Arial" w:cs="Arial"/>
        </w:rPr>
        <w:t xml:space="preserve">In relation to new section 6B(2) we have some observations. This new subsection identifies the Law Officers </w:t>
      </w:r>
      <w:r w:rsidR="00C97201">
        <w:rPr>
          <w:rFonts w:ascii="Arial" w:hAnsi="Arial" w:cs="Arial"/>
        </w:rPr>
        <w:t xml:space="preserve">who can </w:t>
      </w:r>
      <w:r w:rsidRPr="006C135D">
        <w:rPr>
          <w:rFonts w:ascii="Arial" w:hAnsi="Arial" w:cs="Arial"/>
        </w:rPr>
        <w:t xml:space="preserve">make </w:t>
      </w:r>
      <w:r w:rsidR="00C97201">
        <w:rPr>
          <w:rFonts w:ascii="Arial" w:hAnsi="Arial" w:cs="Arial"/>
        </w:rPr>
        <w:t>a</w:t>
      </w:r>
      <w:r w:rsidRPr="006C135D">
        <w:rPr>
          <w:rFonts w:ascii="Arial" w:hAnsi="Arial" w:cs="Arial"/>
        </w:rPr>
        <w:t xml:space="preserve"> reference. </w:t>
      </w:r>
    </w:p>
    <w:p w14:paraId="087B3708" w14:textId="77777777" w:rsidR="002F1595" w:rsidRPr="006C135D" w:rsidRDefault="002F1595" w:rsidP="005D3D49">
      <w:pPr>
        <w:pStyle w:val="BodyA"/>
        <w:rPr>
          <w:rFonts w:ascii="Arial" w:hAnsi="Arial" w:cs="Arial"/>
        </w:rPr>
      </w:pPr>
    </w:p>
    <w:p w14:paraId="79FAE4D3" w14:textId="5877D0B7" w:rsidR="002F1595" w:rsidRPr="006C135D" w:rsidRDefault="002F1595" w:rsidP="005D3D49">
      <w:pPr>
        <w:pStyle w:val="BodyA"/>
        <w:rPr>
          <w:rFonts w:ascii="Arial" w:hAnsi="Arial" w:cs="Arial"/>
          <w:i/>
          <w:iCs/>
        </w:rPr>
      </w:pPr>
      <w:r w:rsidRPr="006C135D">
        <w:rPr>
          <w:rFonts w:ascii="Arial" w:hAnsi="Arial" w:cs="Arial"/>
        </w:rPr>
        <w:t xml:space="preserve">The Lord Advocate’s power to make a reference is limited to where the point of law relates to the meaning or effect of relevant Scotland legislation. There is no corresponding restraint on the powers of any UK </w:t>
      </w:r>
      <w:r w:rsidR="00145D2D">
        <w:rPr>
          <w:rFonts w:ascii="Arial" w:hAnsi="Arial" w:cs="Arial"/>
        </w:rPr>
        <w:t>L</w:t>
      </w:r>
      <w:r w:rsidRPr="006C135D">
        <w:rPr>
          <w:rFonts w:ascii="Arial" w:hAnsi="Arial" w:cs="Arial"/>
        </w:rPr>
        <w:t xml:space="preserve">aw </w:t>
      </w:r>
      <w:r w:rsidR="00145D2D">
        <w:rPr>
          <w:rFonts w:ascii="Arial" w:hAnsi="Arial" w:cs="Arial"/>
        </w:rPr>
        <w:t>O</w:t>
      </w:r>
      <w:r w:rsidRPr="006C135D">
        <w:rPr>
          <w:rFonts w:ascii="Arial" w:hAnsi="Arial" w:cs="Arial"/>
        </w:rPr>
        <w:t>fficer to either the law of England and Wales or a matter of law</w:t>
      </w:r>
      <w:r w:rsidR="00C97201">
        <w:rPr>
          <w:rFonts w:ascii="Arial" w:hAnsi="Arial" w:cs="Arial"/>
        </w:rPr>
        <w:t xml:space="preserve"> on reserved matters</w:t>
      </w:r>
      <w:r w:rsidRPr="006C135D">
        <w:rPr>
          <w:rFonts w:ascii="Arial" w:hAnsi="Arial" w:cs="Arial"/>
        </w:rPr>
        <w:t xml:space="preserve">. We question </w:t>
      </w:r>
      <w:r w:rsidRPr="006C135D">
        <w:rPr>
          <w:rFonts w:ascii="Arial" w:hAnsi="Arial" w:cs="Arial"/>
        </w:rPr>
        <w:lastRenderedPageBreak/>
        <w:t xml:space="preserve">whether </w:t>
      </w:r>
      <w:r w:rsidR="00C97201">
        <w:rPr>
          <w:rFonts w:ascii="Arial" w:hAnsi="Arial" w:cs="Arial"/>
        </w:rPr>
        <w:t xml:space="preserve">it is appropriate that any UK Law Officer (other than the Advocate </w:t>
      </w:r>
      <w:r w:rsidR="0060435D">
        <w:rPr>
          <w:rFonts w:ascii="Arial" w:hAnsi="Arial" w:cs="Arial"/>
        </w:rPr>
        <w:t>G</w:t>
      </w:r>
      <w:r w:rsidR="00C97201">
        <w:rPr>
          <w:rFonts w:ascii="Arial" w:hAnsi="Arial" w:cs="Arial"/>
        </w:rPr>
        <w:t xml:space="preserve">eneral for Scotland) </w:t>
      </w:r>
      <w:r w:rsidRPr="006C135D">
        <w:rPr>
          <w:rFonts w:ascii="Arial" w:hAnsi="Arial" w:cs="Arial"/>
        </w:rPr>
        <w:t xml:space="preserve">should be able to make a reference to the High Court of Justiciary </w:t>
      </w:r>
      <w:bookmarkStart w:id="1" w:name="_Hlk116207007"/>
      <w:r w:rsidRPr="006C135D">
        <w:rPr>
          <w:rFonts w:ascii="Arial" w:hAnsi="Arial" w:cs="Arial"/>
        </w:rPr>
        <w:t xml:space="preserve">or a relevant appeal court which is a Scottish court </w:t>
      </w:r>
      <w:bookmarkEnd w:id="1"/>
      <w:r w:rsidRPr="006C135D">
        <w:rPr>
          <w:rFonts w:ascii="Arial" w:hAnsi="Arial" w:cs="Arial"/>
        </w:rPr>
        <w:t xml:space="preserve">on a matter of Scottish legislation see </w:t>
      </w:r>
      <w:r w:rsidRPr="006C135D">
        <w:rPr>
          <w:rFonts w:ascii="Arial" w:hAnsi="Arial" w:cs="Arial"/>
          <w:i/>
          <w:iCs/>
        </w:rPr>
        <w:t xml:space="preserve">Taylor Clark Leisure PLC v The Commissioners for </w:t>
      </w:r>
      <w:r w:rsidR="0060435D">
        <w:rPr>
          <w:rFonts w:ascii="Arial" w:hAnsi="Arial" w:cs="Arial"/>
          <w:i/>
          <w:iCs/>
        </w:rPr>
        <w:t>H</w:t>
      </w:r>
      <w:r w:rsidRPr="006C135D">
        <w:rPr>
          <w:rFonts w:ascii="Arial" w:hAnsi="Arial" w:cs="Arial"/>
          <w:i/>
          <w:iCs/>
        </w:rPr>
        <w:t xml:space="preserve">er Majesty’s Revenue </w:t>
      </w:r>
      <w:r w:rsidRPr="006C135D">
        <w:rPr>
          <w:rFonts w:ascii="Arial" w:hAnsi="Arial" w:cs="Arial"/>
          <w:i/>
          <w:iCs/>
          <w:color w:val="19283B"/>
          <w:u w:color="19283B"/>
          <w:shd w:val="clear" w:color="auto" w:fill="FFFFFF"/>
        </w:rPr>
        <w:t>[2015] CSIH 32</w:t>
      </w:r>
      <w:r w:rsidRPr="006C135D">
        <w:rPr>
          <w:rFonts w:ascii="Arial" w:hAnsi="Arial" w:cs="Arial"/>
          <w:b/>
          <w:bCs/>
          <w:i/>
          <w:iCs/>
          <w:color w:val="19283B"/>
          <w:u w:color="19283B"/>
        </w:rPr>
        <w:t>.</w:t>
      </w:r>
    </w:p>
    <w:p w14:paraId="29297853" w14:textId="77777777" w:rsidR="002F1595" w:rsidRPr="006C135D" w:rsidRDefault="002F1595" w:rsidP="005D3D49">
      <w:pPr>
        <w:pStyle w:val="BodyA"/>
        <w:rPr>
          <w:rFonts w:ascii="Arial" w:hAnsi="Arial" w:cs="Arial"/>
        </w:rPr>
      </w:pPr>
    </w:p>
    <w:p w14:paraId="79E2B32C" w14:textId="129F63C4" w:rsidR="00C97201" w:rsidRPr="00954B81" w:rsidRDefault="002F1595" w:rsidP="005D3D49">
      <w:pPr>
        <w:pStyle w:val="BodyA"/>
        <w:rPr>
          <w:rFonts w:ascii="Arial" w:hAnsi="Arial" w:cs="Arial"/>
          <w:color w:val="FF0000"/>
        </w:rPr>
      </w:pPr>
      <w:r w:rsidRPr="006C135D">
        <w:rPr>
          <w:rFonts w:ascii="Arial" w:hAnsi="Arial" w:cs="Arial"/>
        </w:rPr>
        <w:t xml:space="preserve">New Section 6C provides that each UK </w:t>
      </w:r>
      <w:r w:rsidR="00145D2D">
        <w:rPr>
          <w:rFonts w:ascii="Arial" w:hAnsi="Arial" w:cs="Arial"/>
        </w:rPr>
        <w:t>L</w:t>
      </w:r>
      <w:r w:rsidRPr="006C135D">
        <w:rPr>
          <w:rFonts w:ascii="Arial" w:hAnsi="Arial" w:cs="Arial"/>
        </w:rPr>
        <w:t xml:space="preserve">aw </w:t>
      </w:r>
      <w:r w:rsidR="00145D2D">
        <w:rPr>
          <w:rFonts w:ascii="Arial" w:hAnsi="Arial" w:cs="Arial"/>
        </w:rPr>
        <w:t>O</w:t>
      </w:r>
      <w:r w:rsidRPr="006C135D">
        <w:rPr>
          <w:rFonts w:ascii="Arial" w:hAnsi="Arial" w:cs="Arial"/>
        </w:rPr>
        <w:t xml:space="preserve">fficer and devolved </w:t>
      </w:r>
      <w:r w:rsidR="00145D2D">
        <w:rPr>
          <w:rFonts w:ascii="Arial" w:hAnsi="Arial" w:cs="Arial"/>
        </w:rPr>
        <w:t>L</w:t>
      </w:r>
      <w:r w:rsidRPr="006C135D">
        <w:rPr>
          <w:rFonts w:ascii="Arial" w:hAnsi="Arial" w:cs="Arial"/>
        </w:rPr>
        <w:t xml:space="preserve">aw </w:t>
      </w:r>
      <w:r w:rsidR="00145D2D">
        <w:rPr>
          <w:rFonts w:ascii="Arial" w:hAnsi="Arial" w:cs="Arial"/>
        </w:rPr>
        <w:t>O</w:t>
      </w:r>
      <w:r w:rsidRPr="006C135D">
        <w:rPr>
          <w:rFonts w:ascii="Arial" w:hAnsi="Arial" w:cs="Arial"/>
        </w:rPr>
        <w:t xml:space="preserve">fficer is entitled to notice </w:t>
      </w:r>
      <w:r w:rsidR="0059137F" w:rsidRPr="006C135D">
        <w:rPr>
          <w:rFonts w:ascii="Arial" w:hAnsi="Arial" w:cs="Arial"/>
        </w:rPr>
        <w:t>of proceedings</w:t>
      </w:r>
      <w:r w:rsidR="00C97201">
        <w:rPr>
          <w:rFonts w:ascii="Arial" w:hAnsi="Arial" w:cs="Arial"/>
        </w:rPr>
        <w:t xml:space="preserve">. </w:t>
      </w:r>
      <w:r w:rsidRPr="006C135D">
        <w:rPr>
          <w:rFonts w:ascii="Arial" w:hAnsi="Arial" w:cs="Arial"/>
        </w:rPr>
        <w:t xml:space="preserve">The Lord Advocate’s power to intervene is limited to where the argument relates to the meaning or effect of relevant Scotland legislation. There is no corresponding restraint on the powers of any UK </w:t>
      </w:r>
      <w:r w:rsidR="00145D2D">
        <w:rPr>
          <w:rFonts w:ascii="Arial" w:hAnsi="Arial" w:cs="Arial"/>
        </w:rPr>
        <w:t>L</w:t>
      </w:r>
      <w:r w:rsidRPr="006C135D">
        <w:rPr>
          <w:rFonts w:ascii="Arial" w:hAnsi="Arial" w:cs="Arial"/>
        </w:rPr>
        <w:t xml:space="preserve">aw </w:t>
      </w:r>
      <w:r w:rsidR="00145D2D">
        <w:rPr>
          <w:rFonts w:ascii="Arial" w:hAnsi="Arial" w:cs="Arial"/>
        </w:rPr>
        <w:t>O</w:t>
      </w:r>
      <w:r w:rsidRPr="006C135D">
        <w:rPr>
          <w:rFonts w:ascii="Arial" w:hAnsi="Arial" w:cs="Arial"/>
        </w:rPr>
        <w:t>fficer to either the law of England and Wales or</w:t>
      </w:r>
      <w:r w:rsidR="00C97201" w:rsidRPr="00954B81">
        <w:rPr>
          <w:rFonts w:ascii="Arial" w:hAnsi="Arial" w:cs="Arial"/>
          <w:color w:val="FF0000"/>
        </w:rPr>
        <w:t xml:space="preserve"> </w:t>
      </w:r>
      <w:r w:rsidR="00C97201" w:rsidRPr="00FF6BC4">
        <w:rPr>
          <w:rFonts w:ascii="Arial" w:hAnsi="Arial" w:cs="Arial"/>
          <w:color w:val="000000" w:themeColor="text1"/>
        </w:rPr>
        <w:t>to the law on reserved matters.</w:t>
      </w:r>
    </w:p>
    <w:p w14:paraId="36F9E3CA" w14:textId="51485E36" w:rsidR="002F1595" w:rsidRPr="006C135D" w:rsidRDefault="002F1595" w:rsidP="005D3D49">
      <w:pPr>
        <w:pStyle w:val="BodyA"/>
        <w:rPr>
          <w:rFonts w:ascii="Arial" w:hAnsi="Arial" w:cs="Arial"/>
          <w:b/>
          <w:bCs/>
        </w:rPr>
      </w:pPr>
      <w:r w:rsidRPr="006C135D">
        <w:rPr>
          <w:rFonts w:ascii="Arial" w:hAnsi="Arial" w:cs="Arial"/>
        </w:rPr>
        <w:t>We question whether it is appropriate that</w:t>
      </w:r>
      <w:r w:rsidR="00FF6BC4">
        <w:rPr>
          <w:rFonts w:ascii="Arial" w:hAnsi="Arial" w:cs="Arial"/>
        </w:rPr>
        <w:t xml:space="preserve"> any UK Law Officer (other than the </w:t>
      </w:r>
      <w:r w:rsidRPr="006C135D">
        <w:rPr>
          <w:rFonts w:ascii="Arial" w:hAnsi="Arial" w:cs="Arial"/>
        </w:rPr>
        <w:t xml:space="preserve">Advocate General for </w:t>
      </w:r>
      <w:r w:rsidR="00FF6BC4">
        <w:rPr>
          <w:rFonts w:ascii="Arial" w:hAnsi="Arial" w:cs="Arial"/>
        </w:rPr>
        <w:t>Scot</w:t>
      </w:r>
      <w:r w:rsidRPr="006C135D">
        <w:rPr>
          <w:rFonts w:ascii="Arial" w:hAnsi="Arial" w:cs="Arial"/>
        </w:rPr>
        <w:t>land</w:t>
      </w:r>
      <w:r w:rsidR="0060435D">
        <w:rPr>
          <w:rFonts w:ascii="Arial" w:hAnsi="Arial" w:cs="Arial"/>
        </w:rPr>
        <w:t>)</w:t>
      </w:r>
      <w:r w:rsidRPr="006C135D">
        <w:rPr>
          <w:rFonts w:ascii="Arial" w:hAnsi="Arial" w:cs="Arial"/>
        </w:rPr>
        <w:t xml:space="preserve"> should be able to intervene on a matter of Scottish legislation before the High Court of Justiciary or a relevant appeal court which is a Scottish court.</w:t>
      </w:r>
      <w:r w:rsidRPr="006C135D">
        <w:rPr>
          <w:rFonts w:ascii="Arial" w:hAnsi="Arial" w:cs="Arial"/>
          <w:b/>
          <w:bCs/>
        </w:rPr>
        <w:t xml:space="preserve"> </w:t>
      </w:r>
    </w:p>
    <w:p w14:paraId="64FB70AD" w14:textId="77777777" w:rsidR="002F1595" w:rsidRPr="006C135D" w:rsidRDefault="002F1595" w:rsidP="005D3D49">
      <w:pPr>
        <w:pStyle w:val="BodyA"/>
        <w:rPr>
          <w:rFonts w:ascii="Arial" w:hAnsi="Arial" w:cs="Arial"/>
        </w:rPr>
      </w:pPr>
    </w:p>
    <w:p w14:paraId="1D1E9A6E" w14:textId="64720589" w:rsidR="002F1595" w:rsidRPr="006C135D" w:rsidRDefault="002F1595" w:rsidP="005D3D49">
      <w:pPr>
        <w:pStyle w:val="BodyA"/>
        <w:rPr>
          <w:rFonts w:ascii="Arial" w:hAnsi="Arial" w:cs="Arial"/>
          <w:b/>
          <w:bCs/>
        </w:rPr>
      </w:pPr>
      <w:r w:rsidRPr="006C135D">
        <w:rPr>
          <w:rFonts w:ascii="Arial" w:hAnsi="Arial" w:cs="Arial"/>
          <w:b/>
          <w:bCs/>
          <w:color w:val="244061" w:themeColor="accent1" w:themeShade="80"/>
        </w:rPr>
        <w:t>8</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Compatibility</w:t>
      </w:r>
    </w:p>
    <w:p w14:paraId="3A1731EC" w14:textId="77777777" w:rsidR="002F1595" w:rsidRPr="006C135D" w:rsidRDefault="002F1595" w:rsidP="005D3D49">
      <w:pPr>
        <w:pStyle w:val="BodyA"/>
        <w:rPr>
          <w:rFonts w:ascii="Arial" w:hAnsi="Arial" w:cs="Arial"/>
        </w:rPr>
      </w:pPr>
    </w:p>
    <w:p w14:paraId="26E2FAE9"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6CC07DC1" w14:textId="77777777" w:rsidR="002F1595" w:rsidRPr="006C135D" w:rsidRDefault="002F1595" w:rsidP="005D3D49">
      <w:pPr>
        <w:pStyle w:val="BodyA"/>
        <w:rPr>
          <w:rFonts w:ascii="Arial" w:hAnsi="Arial" w:cs="Arial"/>
          <w:b/>
          <w:bCs/>
        </w:rPr>
      </w:pPr>
    </w:p>
    <w:p w14:paraId="08456E51" w14:textId="77DD2682" w:rsidR="002F1595" w:rsidRDefault="00FF6BC4" w:rsidP="005D3D49">
      <w:pPr>
        <w:pStyle w:val="BodyA"/>
        <w:rPr>
          <w:rFonts w:ascii="Arial" w:hAnsi="Arial" w:cs="Arial"/>
          <w:color w:val="auto"/>
        </w:rPr>
      </w:pPr>
      <w:r w:rsidRPr="00FF6BC4">
        <w:rPr>
          <w:rFonts w:ascii="Arial" w:hAnsi="Arial" w:cs="Arial"/>
          <w:color w:val="auto"/>
        </w:rPr>
        <w:t>This clause enables regulations to be made which preserve the equivalent to the principle of supremacy in relation to RDEUL or to specified provisions of RDEUL over specified domestic legislation or provisions of it. We have no comments to make on this clause.</w:t>
      </w:r>
    </w:p>
    <w:p w14:paraId="7A1B4CDF" w14:textId="77777777" w:rsidR="00FF6BC4" w:rsidRPr="00FF6BC4" w:rsidRDefault="00FF6BC4" w:rsidP="005D3D49">
      <w:pPr>
        <w:pStyle w:val="BodyA"/>
        <w:rPr>
          <w:rFonts w:ascii="Arial" w:hAnsi="Arial" w:cs="Arial"/>
          <w:color w:val="auto"/>
        </w:rPr>
      </w:pPr>
    </w:p>
    <w:p w14:paraId="6AA5D66A" w14:textId="054B3709"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9</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Incompatibility orders</w:t>
      </w:r>
    </w:p>
    <w:p w14:paraId="771F9B2A" w14:textId="77777777" w:rsidR="002F1595" w:rsidRPr="006C135D" w:rsidRDefault="002F1595" w:rsidP="005D3D49">
      <w:pPr>
        <w:pStyle w:val="BodyA"/>
        <w:rPr>
          <w:rFonts w:ascii="Arial" w:hAnsi="Arial" w:cs="Arial"/>
        </w:rPr>
      </w:pPr>
    </w:p>
    <w:p w14:paraId="1290815D" w14:textId="21DD013A" w:rsidR="002F1595" w:rsidRDefault="002F1595" w:rsidP="005D3D49">
      <w:pPr>
        <w:pStyle w:val="BodyA"/>
        <w:rPr>
          <w:rFonts w:ascii="Arial" w:hAnsi="Arial" w:cs="Arial"/>
          <w:b/>
          <w:bCs/>
        </w:rPr>
      </w:pPr>
      <w:r w:rsidRPr="006C135D">
        <w:rPr>
          <w:rFonts w:ascii="Arial" w:hAnsi="Arial" w:cs="Arial"/>
          <w:b/>
          <w:bCs/>
        </w:rPr>
        <w:t>Our Comment</w:t>
      </w:r>
    </w:p>
    <w:p w14:paraId="3684D76D" w14:textId="214943C5" w:rsidR="00FF6BC4" w:rsidRDefault="00FF6BC4" w:rsidP="005D3D49">
      <w:pPr>
        <w:pStyle w:val="BodyA"/>
        <w:rPr>
          <w:rFonts w:ascii="Arial" w:hAnsi="Arial" w:cs="Arial"/>
          <w:b/>
          <w:bCs/>
        </w:rPr>
      </w:pPr>
    </w:p>
    <w:p w14:paraId="12B9A7DF" w14:textId="5E154B28" w:rsidR="00FF6BC4" w:rsidRPr="00FF6BC4" w:rsidRDefault="00FF6BC4" w:rsidP="005D3D49">
      <w:pPr>
        <w:pStyle w:val="BodyA"/>
        <w:rPr>
          <w:rFonts w:ascii="Arial" w:hAnsi="Arial" w:cs="Arial"/>
          <w:color w:val="000000" w:themeColor="text1"/>
        </w:rPr>
      </w:pPr>
      <w:r w:rsidRPr="00FF6BC4">
        <w:rPr>
          <w:rFonts w:ascii="Arial" w:hAnsi="Arial" w:cs="Arial"/>
          <w:color w:val="000000" w:themeColor="text1"/>
        </w:rPr>
        <w:t>This clause makes provisions as to the remedies which a court may grant following the abolition of the principle of supremacy.</w:t>
      </w:r>
      <w:r>
        <w:rPr>
          <w:rFonts w:ascii="Arial" w:hAnsi="Arial" w:cs="Arial"/>
          <w:color w:val="000000" w:themeColor="text1"/>
        </w:rPr>
        <w:t xml:space="preserve"> </w:t>
      </w:r>
      <w:bookmarkStart w:id="2" w:name="_Hlk117148008"/>
      <w:r w:rsidRPr="00FF6BC4">
        <w:rPr>
          <w:rFonts w:ascii="Arial" w:hAnsi="Arial" w:cs="Arial"/>
          <w:color w:val="000000" w:themeColor="text1"/>
        </w:rPr>
        <w:t>We have no comments to make on this clause</w:t>
      </w:r>
      <w:r>
        <w:rPr>
          <w:rFonts w:ascii="Arial" w:hAnsi="Arial" w:cs="Arial"/>
          <w:color w:val="000000" w:themeColor="text1"/>
        </w:rPr>
        <w:t>.</w:t>
      </w:r>
      <w:bookmarkEnd w:id="2"/>
    </w:p>
    <w:p w14:paraId="730C0E96" w14:textId="77777777" w:rsidR="002F1595" w:rsidRPr="006C135D" w:rsidRDefault="002F1595" w:rsidP="005D3D49">
      <w:pPr>
        <w:pStyle w:val="BodyA"/>
        <w:rPr>
          <w:rFonts w:ascii="Arial" w:hAnsi="Arial" w:cs="Arial"/>
        </w:rPr>
      </w:pPr>
    </w:p>
    <w:p w14:paraId="30988A07" w14:textId="77777777" w:rsidR="002F1595" w:rsidRPr="006C135D" w:rsidRDefault="002F1595" w:rsidP="005D3D49">
      <w:pPr>
        <w:pStyle w:val="BodyA"/>
        <w:rPr>
          <w:rFonts w:ascii="Arial" w:hAnsi="Arial" w:cs="Arial"/>
          <w:i/>
          <w:iCs/>
        </w:rPr>
      </w:pPr>
      <w:r w:rsidRPr="006C135D">
        <w:rPr>
          <w:rFonts w:ascii="Arial" w:hAnsi="Arial" w:cs="Arial"/>
          <w:i/>
          <w:iCs/>
        </w:rPr>
        <w:t>Modification of retained EU law</w:t>
      </w:r>
    </w:p>
    <w:p w14:paraId="66F3F9FE" w14:textId="77777777" w:rsidR="002F1595" w:rsidRPr="006C135D" w:rsidRDefault="002F1595" w:rsidP="005D3D49">
      <w:pPr>
        <w:pStyle w:val="BodyA"/>
        <w:rPr>
          <w:rFonts w:ascii="Arial" w:hAnsi="Arial" w:cs="Arial"/>
        </w:rPr>
      </w:pPr>
    </w:p>
    <w:p w14:paraId="38CA821B" w14:textId="3ADADCE8"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10</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Scope of powers</w:t>
      </w:r>
    </w:p>
    <w:p w14:paraId="4BEE10D0" w14:textId="77777777" w:rsidR="002F1595" w:rsidRPr="006C135D" w:rsidRDefault="002F1595" w:rsidP="005D3D49">
      <w:pPr>
        <w:pStyle w:val="BodyA"/>
        <w:rPr>
          <w:rFonts w:ascii="Arial" w:hAnsi="Arial" w:cs="Arial"/>
        </w:rPr>
      </w:pPr>
    </w:p>
    <w:p w14:paraId="0707CE96"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518D0DDC" w14:textId="77777777" w:rsidR="002F1595" w:rsidRPr="006C135D" w:rsidRDefault="002F1595" w:rsidP="005D3D49">
      <w:pPr>
        <w:pStyle w:val="BodyA"/>
        <w:rPr>
          <w:rFonts w:ascii="Arial" w:hAnsi="Arial" w:cs="Arial"/>
          <w:b/>
          <w:bCs/>
        </w:rPr>
      </w:pPr>
    </w:p>
    <w:p w14:paraId="03985D6B" w14:textId="3EAB6B5C" w:rsidR="002F1595" w:rsidRPr="00FF6BC4" w:rsidRDefault="00FF6BC4" w:rsidP="005D3D49">
      <w:pPr>
        <w:pStyle w:val="BodyA"/>
        <w:rPr>
          <w:rFonts w:ascii="Arial" w:hAnsi="Arial" w:cs="Arial"/>
          <w:color w:val="auto"/>
        </w:rPr>
      </w:pPr>
      <w:bookmarkStart w:id="3" w:name="_Hlk116287498"/>
      <w:r w:rsidRPr="00954B81">
        <w:rPr>
          <w:rFonts w:ascii="Arial" w:hAnsi="Arial" w:cs="Arial"/>
          <w:color w:val="auto"/>
        </w:rPr>
        <w:t>This clause amends the provisions in EUWA which modify the powers in other statutes with regard to their use to amend RDEUL or section 4 EUWA rights.</w:t>
      </w:r>
      <w:r w:rsidR="002A4E56" w:rsidRPr="002A4E56">
        <w:rPr>
          <w:rFonts w:ascii="Arial" w:hAnsi="Arial" w:cs="Arial"/>
          <w:color w:val="000000" w:themeColor="text1"/>
        </w:rPr>
        <w:t xml:space="preserve"> </w:t>
      </w:r>
      <w:r w:rsidR="002A4E56" w:rsidRPr="00FF6BC4">
        <w:rPr>
          <w:rFonts w:ascii="Arial" w:hAnsi="Arial" w:cs="Arial"/>
          <w:color w:val="000000" w:themeColor="text1"/>
        </w:rPr>
        <w:t>We have no comments to make on this clause</w:t>
      </w:r>
      <w:r w:rsidR="002A4E56">
        <w:rPr>
          <w:rFonts w:ascii="Arial" w:hAnsi="Arial" w:cs="Arial"/>
          <w:color w:val="000000" w:themeColor="text1"/>
        </w:rPr>
        <w:t>.</w:t>
      </w:r>
    </w:p>
    <w:bookmarkEnd w:id="3"/>
    <w:p w14:paraId="07448893" w14:textId="77777777" w:rsidR="002F1595" w:rsidRPr="006C135D" w:rsidRDefault="002F1595" w:rsidP="005D3D49">
      <w:pPr>
        <w:pStyle w:val="BodyA"/>
        <w:rPr>
          <w:rFonts w:ascii="Arial" w:hAnsi="Arial" w:cs="Arial"/>
        </w:rPr>
      </w:pPr>
    </w:p>
    <w:p w14:paraId="6B381371" w14:textId="7959949B" w:rsidR="002F1595" w:rsidRPr="006C135D" w:rsidRDefault="002F1595" w:rsidP="005D3D49">
      <w:pPr>
        <w:pStyle w:val="BodyA"/>
        <w:rPr>
          <w:rFonts w:ascii="Arial" w:hAnsi="Arial" w:cs="Arial"/>
          <w:b/>
          <w:bCs/>
        </w:rPr>
      </w:pPr>
      <w:r w:rsidRPr="006C135D">
        <w:rPr>
          <w:rFonts w:ascii="Arial" w:hAnsi="Arial" w:cs="Arial"/>
          <w:b/>
          <w:bCs/>
          <w:color w:val="244061" w:themeColor="accent1" w:themeShade="80"/>
        </w:rPr>
        <w:t>11</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Procedural requirements</w:t>
      </w:r>
    </w:p>
    <w:p w14:paraId="614EBE0D" w14:textId="77777777" w:rsidR="002F1595" w:rsidRPr="006C135D" w:rsidRDefault="002F1595" w:rsidP="005D3D49">
      <w:pPr>
        <w:pStyle w:val="BodyA"/>
        <w:rPr>
          <w:rFonts w:ascii="Arial" w:hAnsi="Arial" w:cs="Arial"/>
        </w:rPr>
      </w:pPr>
    </w:p>
    <w:p w14:paraId="24DDD70F" w14:textId="51D55C48" w:rsidR="002F1595" w:rsidRDefault="002F1595" w:rsidP="005D3D49">
      <w:pPr>
        <w:pStyle w:val="BodyA"/>
        <w:rPr>
          <w:rFonts w:ascii="Arial" w:hAnsi="Arial" w:cs="Arial"/>
          <w:b/>
          <w:bCs/>
        </w:rPr>
      </w:pPr>
      <w:r w:rsidRPr="006C135D">
        <w:rPr>
          <w:rFonts w:ascii="Arial" w:hAnsi="Arial" w:cs="Arial"/>
          <w:b/>
          <w:bCs/>
        </w:rPr>
        <w:t xml:space="preserve">Our Comment </w:t>
      </w:r>
    </w:p>
    <w:p w14:paraId="0142097B" w14:textId="642191FD" w:rsidR="00FF6BC4" w:rsidRDefault="00FF6BC4" w:rsidP="005D3D49">
      <w:pPr>
        <w:pStyle w:val="BodyA"/>
        <w:rPr>
          <w:rFonts w:ascii="Arial" w:hAnsi="Arial" w:cs="Arial"/>
          <w:b/>
          <w:bCs/>
        </w:rPr>
      </w:pPr>
    </w:p>
    <w:p w14:paraId="76EA9490" w14:textId="3FD26F8B" w:rsidR="00FF6BC4" w:rsidRPr="00FF6BC4" w:rsidRDefault="00FF6BC4" w:rsidP="005D3D49">
      <w:pPr>
        <w:pStyle w:val="BodyA"/>
        <w:rPr>
          <w:rFonts w:ascii="Arial" w:hAnsi="Arial" w:cs="Arial"/>
          <w:color w:val="FF0000"/>
        </w:rPr>
      </w:pPr>
      <w:r w:rsidRPr="00FF6BC4">
        <w:rPr>
          <w:rFonts w:ascii="Arial" w:hAnsi="Arial" w:cs="Arial"/>
          <w:color w:val="auto"/>
        </w:rPr>
        <w:t>This clause repeals the parliamentary scrutiny requirements which apply to the amendment or revocation of subordinate legislation made under section 2(2) of ECA.</w:t>
      </w:r>
      <w:r>
        <w:rPr>
          <w:rFonts w:ascii="Arial" w:hAnsi="Arial" w:cs="Arial"/>
          <w:color w:val="auto"/>
        </w:rPr>
        <w:t xml:space="preserve"> </w:t>
      </w:r>
      <w:r w:rsidRPr="00FF6BC4">
        <w:rPr>
          <w:rFonts w:ascii="Arial" w:hAnsi="Arial" w:cs="Arial"/>
          <w:color w:val="auto"/>
        </w:rPr>
        <w:t>We have no comments upon this clause</w:t>
      </w:r>
      <w:r>
        <w:rPr>
          <w:rFonts w:ascii="Arial" w:hAnsi="Arial" w:cs="Arial"/>
          <w:color w:val="auto"/>
        </w:rPr>
        <w:t xml:space="preserve">.  </w:t>
      </w:r>
    </w:p>
    <w:p w14:paraId="69778F81" w14:textId="77777777" w:rsidR="002F1595" w:rsidRPr="006C135D" w:rsidRDefault="002F1595" w:rsidP="005D3D49">
      <w:pPr>
        <w:pStyle w:val="BodyA"/>
        <w:rPr>
          <w:rFonts w:ascii="Arial" w:hAnsi="Arial" w:cs="Arial"/>
        </w:rPr>
      </w:pPr>
    </w:p>
    <w:p w14:paraId="6A136664" w14:textId="054BF913" w:rsidR="0059137F" w:rsidRPr="006C135D" w:rsidRDefault="002F1595" w:rsidP="005D3D49">
      <w:pPr>
        <w:pStyle w:val="BodyA"/>
        <w:rPr>
          <w:rFonts w:ascii="Arial" w:hAnsi="Arial" w:cs="Arial"/>
          <w:i/>
          <w:iCs/>
        </w:rPr>
      </w:pPr>
      <w:r w:rsidRPr="006C135D">
        <w:rPr>
          <w:rFonts w:ascii="Arial" w:hAnsi="Arial" w:cs="Arial"/>
          <w:i/>
          <w:iCs/>
        </w:rPr>
        <w:t>Powers relating to retained EU law and assimilated law</w:t>
      </w:r>
    </w:p>
    <w:p w14:paraId="06C3DF03" w14:textId="77777777" w:rsidR="002F1595" w:rsidRPr="006C135D" w:rsidRDefault="002F1595" w:rsidP="005D3D49">
      <w:pPr>
        <w:pStyle w:val="BodyA"/>
        <w:rPr>
          <w:rFonts w:ascii="Arial" w:hAnsi="Arial" w:cs="Arial"/>
        </w:rPr>
      </w:pPr>
    </w:p>
    <w:p w14:paraId="234F1D48" w14:textId="7CA706D3" w:rsidR="002F1595" w:rsidRPr="006C135D" w:rsidRDefault="002F1595" w:rsidP="005D3D49">
      <w:pPr>
        <w:pStyle w:val="BodyA"/>
        <w:rPr>
          <w:rFonts w:ascii="Arial" w:hAnsi="Arial" w:cs="Arial"/>
          <w:b/>
          <w:bCs/>
        </w:rPr>
      </w:pPr>
      <w:r w:rsidRPr="006C135D">
        <w:rPr>
          <w:rFonts w:ascii="Arial" w:hAnsi="Arial" w:cs="Arial"/>
          <w:b/>
          <w:bCs/>
          <w:color w:val="244061" w:themeColor="accent1" w:themeShade="80"/>
        </w:rPr>
        <w:t>12</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Power to restate retained EU law</w:t>
      </w:r>
    </w:p>
    <w:p w14:paraId="2D23068F" w14:textId="77777777" w:rsidR="002F1595" w:rsidRPr="006C135D" w:rsidRDefault="002F1595" w:rsidP="005D3D49">
      <w:pPr>
        <w:pStyle w:val="BodyA"/>
        <w:rPr>
          <w:rFonts w:ascii="Arial" w:hAnsi="Arial" w:cs="Arial"/>
        </w:rPr>
      </w:pPr>
    </w:p>
    <w:p w14:paraId="33BF66A7" w14:textId="6404EF3C" w:rsidR="002F1595" w:rsidRDefault="002F1595" w:rsidP="005D3D49">
      <w:pPr>
        <w:pStyle w:val="BodyA"/>
        <w:rPr>
          <w:rFonts w:ascii="Arial" w:hAnsi="Arial" w:cs="Arial"/>
          <w:b/>
          <w:bCs/>
        </w:rPr>
      </w:pPr>
      <w:r w:rsidRPr="006C135D">
        <w:rPr>
          <w:rFonts w:ascii="Arial" w:hAnsi="Arial" w:cs="Arial"/>
          <w:b/>
          <w:bCs/>
        </w:rPr>
        <w:t xml:space="preserve">Our Comment </w:t>
      </w:r>
    </w:p>
    <w:p w14:paraId="2C5AB08F" w14:textId="77777777" w:rsidR="00FF6BC4" w:rsidRDefault="00FF6BC4" w:rsidP="005D3D49">
      <w:pPr>
        <w:pStyle w:val="BodyA"/>
        <w:rPr>
          <w:rFonts w:ascii="Arial" w:hAnsi="Arial" w:cs="Arial"/>
          <w:b/>
          <w:bCs/>
        </w:rPr>
      </w:pPr>
    </w:p>
    <w:p w14:paraId="64EADAFE" w14:textId="2218445D" w:rsidR="00FF6BC4" w:rsidRPr="00FF6BC4" w:rsidRDefault="00FF6BC4" w:rsidP="005D3D49">
      <w:pPr>
        <w:pStyle w:val="BodyA"/>
        <w:rPr>
          <w:rFonts w:ascii="Arial" w:hAnsi="Arial" w:cs="Arial"/>
          <w:color w:val="auto"/>
        </w:rPr>
      </w:pPr>
      <w:r w:rsidRPr="00FF6BC4">
        <w:rPr>
          <w:rFonts w:ascii="Arial" w:hAnsi="Arial" w:cs="Arial"/>
          <w:color w:val="auto"/>
        </w:rPr>
        <w:t>This clause provides that</w:t>
      </w:r>
      <w:r w:rsidRPr="00FF6BC4">
        <w:rPr>
          <w:rFonts w:ascii="Arial" w:hAnsi="Arial" w:cs="Arial"/>
          <w:b/>
          <w:bCs/>
          <w:color w:val="auto"/>
        </w:rPr>
        <w:t xml:space="preserve"> </w:t>
      </w:r>
      <w:r w:rsidRPr="00FF6BC4">
        <w:rPr>
          <w:rFonts w:ascii="Arial" w:hAnsi="Arial" w:cs="Arial"/>
          <w:color w:val="auto"/>
        </w:rPr>
        <w:t xml:space="preserve">a relevant national authority may by regulations restate any secondary retained EU law. The restatement is not retained EU law. </w:t>
      </w:r>
      <w:r w:rsidR="00145D2D">
        <w:rPr>
          <w:rFonts w:ascii="Arial" w:hAnsi="Arial" w:cs="Arial"/>
          <w:color w:val="auto"/>
        </w:rPr>
        <w:t xml:space="preserve">Will the restatement be capable of further amendment in the future? </w:t>
      </w:r>
    </w:p>
    <w:p w14:paraId="290B7E0D" w14:textId="77777777" w:rsidR="00FF6BC4" w:rsidRPr="006C135D" w:rsidRDefault="00FF6BC4" w:rsidP="005D3D49">
      <w:pPr>
        <w:pStyle w:val="BodyA"/>
        <w:rPr>
          <w:rFonts w:ascii="Arial" w:hAnsi="Arial" w:cs="Arial"/>
          <w:b/>
          <w:bCs/>
        </w:rPr>
      </w:pPr>
    </w:p>
    <w:p w14:paraId="54278D75" w14:textId="36D075C9" w:rsidR="002F1595" w:rsidRDefault="002F1595" w:rsidP="005D3D49">
      <w:pPr>
        <w:pStyle w:val="BodyA"/>
        <w:rPr>
          <w:rFonts w:ascii="Arial" w:hAnsi="Arial" w:cs="Arial"/>
          <w:b/>
          <w:bCs/>
        </w:rPr>
      </w:pPr>
    </w:p>
    <w:p w14:paraId="76437BF4" w14:textId="15F73AFA" w:rsidR="00FF6BC4" w:rsidRDefault="00FF6BC4" w:rsidP="005D3D49">
      <w:pPr>
        <w:pStyle w:val="BodyA"/>
        <w:rPr>
          <w:rFonts w:ascii="Arial" w:hAnsi="Arial" w:cs="Arial"/>
          <w:b/>
          <w:bCs/>
        </w:rPr>
      </w:pPr>
    </w:p>
    <w:p w14:paraId="489E3BB2" w14:textId="79650250" w:rsidR="00FF6BC4" w:rsidRDefault="00FF6BC4" w:rsidP="005D3D49">
      <w:pPr>
        <w:pStyle w:val="BodyA"/>
        <w:rPr>
          <w:rFonts w:ascii="Arial" w:hAnsi="Arial" w:cs="Arial"/>
          <w:b/>
          <w:bCs/>
        </w:rPr>
      </w:pPr>
    </w:p>
    <w:p w14:paraId="3316B16C" w14:textId="08A1478A" w:rsidR="00FF6BC4" w:rsidRDefault="00FF6BC4" w:rsidP="005D3D49">
      <w:pPr>
        <w:pStyle w:val="BodyA"/>
        <w:rPr>
          <w:rFonts w:ascii="Arial" w:hAnsi="Arial" w:cs="Arial"/>
          <w:b/>
          <w:bCs/>
        </w:rPr>
      </w:pPr>
    </w:p>
    <w:p w14:paraId="2E4241AA" w14:textId="77777777" w:rsidR="00FF6BC4" w:rsidRPr="006C135D" w:rsidRDefault="00FF6BC4" w:rsidP="005D3D49">
      <w:pPr>
        <w:pStyle w:val="BodyA"/>
        <w:rPr>
          <w:rFonts w:ascii="Arial" w:hAnsi="Arial" w:cs="Arial"/>
        </w:rPr>
      </w:pPr>
    </w:p>
    <w:p w14:paraId="71F003F7" w14:textId="5D039455"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13</w:t>
      </w:r>
      <w:r w:rsidR="0059137F" w:rsidRPr="006C135D">
        <w:rPr>
          <w:rFonts w:ascii="Arial" w:hAnsi="Arial" w:cs="Arial"/>
          <w:b/>
          <w:bCs/>
          <w:color w:val="244061" w:themeColor="accent1" w:themeShade="80"/>
        </w:rPr>
        <w:t xml:space="preserve">. </w:t>
      </w:r>
      <w:r w:rsidRPr="006C135D">
        <w:rPr>
          <w:rFonts w:ascii="Arial" w:hAnsi="Arial" w:cs="Arial"/>
          <w:b/>
          <w:bCs/>
          <w:color w:val="244061" w:themeColor="accent1" w:themeShade="80"/>
        </w:rPr>
        <w:t>Power to restate assimilated law or reproduce sunsetted retained EU rights,</w:t>
      </w:r>
      <w:r w:rsidR="0059137F" w:rsidRPr="006C135D">
        <w:rPr>
          <w:rFonts w:ascii="Arial" w:hAnsi="Arial" w:cs="Arial"/>
          <w:b/>
          <w:bCs/>
          <w:color w:val="244061" w:themeColor="accent1" w:themeShade="80"/>
        </w:rPr>
        <w:t xml:space="preserve"> </w:t>
      </w:r>
      <w:r w:rsidRPr="006C135D">
        <w:rPr>
          <w:rFonts w:ascii="Arial" w:hAnsi="Arial" w:cs="Arial"/>
          <w:b/>
          <w:bCs/>
          <w:color w:val="244061" w:themeColor="accent1" w:themeShade="80"/>
        </w:rPr>
        <w:t xml:space="preserve">powers, liabilities </w:t>
      </w:r>
      <w:r w:rsidR="00F84A81" w:rsidRPr="006C135D">
        <w:rPr>
          <w:rFonts w:ascii="Arial" w:hAnsi="Arial" w:cs="Arial"/>
          <w:b/>
          <w:bCs/>
          <w:color w:val="244061" w:themeColor="accent1" w:themeShade="80"/>
        </w:rPr>
        <w:t>etc.</w:t>
      </w:r>
    </w:p>
    <w:p w14:paraId="1FD50641" w14:textId="77777777" w:rsidR="002F1595" w:rsidRPr="006C135D" w:rsidRDefault="002F1595" w:rsidP="005D3D49">
      <w:pPr>
        <w:pStyle w:val="BodyA"/>
        <w:rPr>
          <w:rFonts w:ascii="Arial" w:hAnsi="Arial" w:cs="Arial"/>
        </w:rPr>
      </w:pPr>
    </w:p>
    <w:p w14:paraId="4A5DB844" w14:textId="7093241D" w:rsidR="002F1595" w:rsidRDefault="002F1595" w:rsidP="005D3D49">
      <w:pPr>
        <w:pStyle w:val="BodyA"/>
        <w:rPr>
          <w:rFonts w:ascii="Arial" w:hAnsi="Arial" w:cs="Arial"/>
          <w:b/>
          <w:bCs/>
        </w:rPr>
      </w:pPr>
      <w:r w:rsidRPr="006C135D">
        <w:rPr>
          <w:rFonts w:ascii="Arial" w:hAnsi="Arial" w:cs="Arial"/>
          <w:b/>
          <w:bCs/>
        </w:rPr>
        <w:t xml:space="preserve">Our Comment </w:t>
      </w:r>
    </w:p>
    <w:p w14:paraId="57DD6159" w14:textId="62EC7410" w:rsidR="00FF6BC4" w:rsidRDefault="00FF6BC4" w:rsidP="005D3D49">
      <w:pPr>
        <w:pStyle w:val="BodyA"/>
        <w:rPr>
          <w:rFonts w:ascii="Arial" w:hAnsi="Arial" w:cs="Arial"/>
          <w:b/>
          <w:bCs/>
        </w:rPr>
      </w:pPr>
    </w:p>
    <w:p w14:paraId="33C5B336" w14:textId="00936AB3" w:rsidR="00FF6BC4" w:rsidRPr="00954B81" w:rsidRDefault="00FF6BC4" w:rsidP="005D3D49">
      <w:pPr>
        <w:pStyle w:val="BodyA"/>
        <w:rPr>
          <w:rFonts w:ascii="Arial" w:hAnsi="Arial" w:cs="Arial"/>
          <w:color w:val="auto"/>
        </w:rPr>
      </w:pPr>
      <w:r w:rsidRPr="00954B81">
        <w:rPr>
          <w:rFonts w:ascii="Arial" w:hAnsi="Arial" w:cs="Arial"/>
          <w:color w:val="auto"/>
        </w:rPr>
        <w:t>This clause provides that</w:t>
      </w:r>
      <w:r w:rsidRPr="00954B81">
        <w:rPr>
          <w:rFonts w:ascii="Arial" w:hAnsi="Arial" w:cs="Arial"/>
          <w:b/>
          <w:bCs/>
          <w:color w:val="auto"/>
        </w:rPr>
        <w:t xml:space="preserve"> </w:t>
      </w:r>
      <w:r w:rsidRPr="00954B81">
        <w:rPr>
          <w:rFonts w:ascii="Arial" w:hAnsi="Arial" w:cs="Arial"/>
          <w:color w:val="auto"/>
        </w:rPr>
        <w:t>a relevant national authority may by regulations restate any secondary assimilated law. This operates in a similar way to clause 12 but to operate after the end of 2023.</w:t>
      </w:r>
      <w:r w:rsidR="00145D2D">
        <w:rPr>
          <w:rFonts w:ascii="Arial" w:hAnsi="Arial" w:cs="Arial"/>
          <w:color w:val="auto"/>
        </w:rPr>
        <w:t xml:space="preserve"> Will the restatement be capable of further amendment in the future? </w:t>
      </w:r>
    </w:p>
    <w:p w14:paraId="0B03402C" w14:textId="77777777" w:rsidR="002F1595" w:rsidRPr="006C135D" w:rsidRDefault="002F1595" w:rsidP="005D3D49">
      <w:pPr>
        <w:pStyle w:val="BodyA"/>
        <w:rPr>
          <w:rFonts w:ascii="Arial" w:hAnsi="Arial" w:cs="Arial"/>
        </w:rPr>
      </w:pPr>
      <w:bookmarkStart w:id="4" w:name="_Hlk116308831"/>
    </w:p>
    <w:bookmarkEnd w:id="4"/>
    <w:p w14:paraId="16C19AAC" w14:textId="0FDCC19F"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14</w:t>
      </w:r>
      <w:r w:rsidR="006C135D">
        <w:rPr>
          <w:rFonts w:ascii="Arial" w:hAnsi="Arial" w:cs="Arial"/>
          <w:b/>
          <w:bCs/>
          <w:color w:val="244061" w:themeColor="accent1" w:themeShade="80"/>
        </w:rPr>
        <w:t>.</w:t>
      </w:r>
      <w:r w:rsidRPr="006C135D">
        <w:rPr>
          <w:rFonts w:ascii="Arial" w:hAnsi="Arial" w:cs="Arial"/>
          <w:b/>
          <w:bCs/>
          <w:color w:val="244061" w:themeColor="accent1" w:themeShade="80"/>
        </w:rPr>
        <w:t xml:space="preserve"> Powers to restate or reproduce: general</w:t>
      </w:r>
    </w:p>
    <w:p w14:paraId="1C57854A" w14:textId="77777777" w:rsidR="002F1595" w:rsidRPr="006C135D" w:rsidRDefault="002F1595" w:rsidP="005D3D49">
      <w:pPr>
        <w:pStyle w:val="BodyA"/>
        <w:rPr>
          <w:rFonts w:ascii="Arial" w:hAnsi="Arial" w:cs="Arial"/>
        </w:rPr>
      </w:pPr>
    </w:p>
    <w:p w14:paraId="64A12253"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14AEBE12" w14:textId="77777777" w:rsidR="002F1595" w:rsidRPr="006C135D" w:rsidRDefault="002F1595" w:rsidP="005D3D49">
      <w:pPr>
        <w:pStyle w:val="BodyA"/>
        <w:rPr>
          <w:rFonts w:ascii="Arial" w:hAnsi="Arial" w:cs="Arial"/>
          <w:b/>
          <w:bCs/>
        </w:rPr>
      </w:pPr>
    </w:p>
    <w:p w14:paraId="0EBE6BF1" w14:textId="7CF31555" w:rsidR="002F1595" w:rsidRDefault="002F1595" w:rsidP="005D3D49">
      <w:pPr>
        <w:pStyle w:val="BodyA"/>
        <w:rPr>
          <w:rFonts w:ascii="Arial" w:hAnsi="Arial" w:cs="Arial"/>
          <w:color w:val="auto"/>
        </w:rPr>
      </w:pPr>
      <w:r w:rsidRPr="005D3D49">
        <w:rPr>
          <w:rFonts w:ascii="Arial" w:hAnsi="Arial" w:cs="Arial"/>
          <w:color w:val="auto"/>
        </w:rPr>
        <w:t xml:space="preserve">Clause 14 provides further detail on what </w:t>
      </w:r>
      <w:r w:rsidR="005D3D49" w:rsidRPr="005D3D49">
        <w:rPr>
          <w:rFonts w:ascii="Arial" w:hAnsi="Arial" w:cs="Arial"/>
          <w:color w:val="auto"/>
        </w:rPr>
        <w:t xml:space="preserve">on what a national authority can do when exercising its powers to make regulations </w:t>
      </w:r>
      <w:r w:rsidRPr="005D3D49">
        <w:rPr>
          <w:rFonts w:ascii="Arial" w:hAnsi="Arial" w:cs="Arial"/>
          <w:color w:val="auto"/>
        </w:rPr>
        <w:t>under clauses 12 and 13.</w:t>
      </w:r>
    </w:p>
    <w:p w14:paraId="14865757" w14:textId="00D16905" w:rsidR="005D3D49" w:rsidRDefault="005D3D49" w:rsidP="005D3D49">
      <w:pPr>
        <w:pStyle w:val="BodyA"/>
        <w:rPr>
          <w:rFonts w:ascii="Arial" w:hAnsi="Arial" w:cs="Arial"/>
          <w:color w:val="auto"/>
        </w:rPr>
      </w:pPr>
    </w:p>
    <w:p w14:paraId="030EB1A8" w14:textId="77777777" w:rsidR="005D3D49" w:rsidRPr="005D3D49" w:rsidRDefault="005D3D49" w:rsidP="005D3D49">
      <w:pPr>
        <w:pStyle w:val="BodyA"/>
        <w:rPr>
          <w:rFonts w:ascii="Arial" w:hAnsi="Arial" w:cs="Arial"/>
          <w:color w:val="000000" w:themeColor="text1"/>
        </w:rPr>
      </w:pPr>
      <w:r w:rsidRPr="005D3D49">
        <w:rPr>
          <w:rFonts w:ascii="Arial" w:hAnsi="Arial" w:cs="Arial"/>
          <w:color w:val="000000" w:themeColor="text1"/>
        </w:rPr>
        <w:t xml:space="preserve">Subsection (2) provides that a national authority can use different words or concepts from those used in the secondary retained EU law which is being reinstated. </w:t>
      </w:r>
    </w:p>
    <w:p w14:paraId="65C23573" w14:textId="77777777" w:rsidR="005D3D49" w:rsidRPr="005D3D49" w:rsidRDefault="005D3D49" w:rsidP="005D3D49">
      <w:pPr>
        <w:pStyle w:val="BodyA"/>
        <w:rPr>
          <w:rFonts w:ascii="Arial" w:hAnsi="Arial" w:cs="Arial"/>
          <w:color w:val="000000" w:themeColor="text1"/>
        </w:rPr>
      </w:pPr>
    </w:p>
    <w:p w14:paraId="66895831" w14:textId="77777777" w:rsidR="005D3D49" w:rsidRPr="005D3D49" w:rsidRDefault="005D3D49" w:rsidP="005D3D49">
      <w:pPr>
        <w:pStyle w:val="BodyA"/>
        <w:rPr>
          <w:rFonts w:ascii="Arial" w:hAnsi="Arial" w:cs="Arial"/>
          <w:color w:val="000000" w:themeColor="text1"/>
        </w:rPr>
      </w:pPr>
      <w:r w:rsidRPr="005D3D49">
        <w:rPr>
          <w:rFonts w:ascii="Arial" w:hAnsi="Arial" w:cs="Arial"/>
          <w:color w:val="000000" w:themeColor="text1"/>
        </w:rPr>
        <w:t xml:space="preserve">The Government should explain what is meant by “restatement” if the restated law is different in concept from the original law. To what extent can “different words” be used before the restatement changes into a new and distinct law?  </w:t>
      </w:r>
    </w:p>
    <w:p w14:paraId="01B75CEF" w14:textId="77777777" w:rsidR="005D3D49" w:rsidRPr="005D3D49" w:rsidRDefault="005D3D49" w:rsidP="005D3D49">
      <w:pPr>
        <w:pStyle w:val="BodyA"/>
        <w:rPr>
          <w:rFonts w:ascii="Arial" w:hAnsi="Arial" w:cs="Arial"/>
          <w:color w:val="000000" w:themeColor="text1"/>
        </w:rPr>
      </w:pPr>
    </w:p>
    <w:p w14:paraId="7274ED60" w14:textId="43949591" w:rsidR="005D3D49" w:rsidRPr="005D3D49" w:rsidRDefault="005D3D49" w:rsidP="005D3D49">
      <w:pPr>
        <w:pStyle w:val="BodyA"/>
        <w:rPr>
          <w:rFonts w:ascii="Arial" w:hAnsi="Arial" w:cs="Arial"/>
          <w:color w:val="000000" w:themeColor="text1"/>
        </w:rPr>
      </w:pPr>
      <w:r w:rsidRPr="005D3D49">
        <w:rPr>
          <w:rFonts w:ascii="Arial" w:hAnsi="Arial" w:cs="Arial"/>
          <w:color w:val="000000" w:themeColor="text1"/>
        </w:rPr>
        <w:t>However, subsection (3) appears to set out limitations on what changes can be made. It provides that a nat</w:t>
      </w:r>
      <w:r w:rsidR="00B96388">
        <w:rPr>
          <w:rFonts w:ascii="Arial" w:hAnsi="Arial" w:cs="Arial"/>
          <w:color w:val="000000" w:themeColor="text1"/>
        </w:rPr>
        <w:t>ional</w:t>
      </w:r>
      <w:r w:rsidRPr="005D3D49">
        <w:rPr>
          <w:rFonts w:ascii="Arial" w:hAnsi="Arial" w:cs="Arial"/>
          <w:color w:val="000000" w:themeColor="text1"/>
        </w:rPr>
        <w:t xml:space="preserve"> authority may ma</w:t>
      </w:r>
      <w:r w:rsidR="00B96388">
        <w:rPr>
          <w:rFonts w:ascii="Arial" w:hAnsi="Arial" w:cs="Arial"/>
          <w:color w:val="000000" w:themeColor="text1"/>
        </w:rPr>
        <w:t>k</w:t>
      </w:r>
      <w:r w:rsidRPr="005D3D49">
        <w:rPr>
          <w:rFonts w:ascii="Arial" w:hAnsi="Arial" w:cs="Arial"/>
          <w:color w:val="000000" w:themeColor="text1"/>
        </w:rPr>
        <w:t xml:space="preserve">e changes which it considers appropriate for the purpose </w:t>
      </w:r>
      <w:r w:rsidR="00B96388" w:rsidRPr="005D3D49">
        <w:rPr>
          <w:rFonts w:ascii="Arial" w:hAnsi="Arial" w:cs="Arial"/>
          <w:color w:val="000000" w:themeColor="text1"/>
        </w:rPr>
        <w:t>of</w:t>
      </w:r>
      <w:r w:rsidR="00B96388">
        <w:rPr>
          <w:rFonts w:ascii="Arial" w:hAnsi="Arial" w:cs="Arial"/>
          <w:color w:val="000000" w:themeColor="text1"/>
        </w:rPr>
        <w:t>:</w:t>
      </w:r>
    </w:p>
    <w:p w14:paraId="0AC370B2" w14:textId="1016F50E" w:rsidR="005D3D49" w:rsidRPr="005D3D49" w:rsidRDefault="005D3D49" w:rsidP="005D3D49">
      <w:pPr>
        <w:pStyle w:val="BodyA"/>
        <w:rPr>
          <w:rFonts w:ascii="Arial" w:hAnsi="Arial" w:cs="Arial"/>
          <w:color w:val="000000" w:themeColor="text1"/>
        </w:rPr>
      </w:pPr>
      <w:r w:rsidRPr="005D3D49">
        <w:rPr>
          <w:rFonts w:ascii="Arial" w:hAnsi="Arial" w:cs="Arial"/>
          <w:color w:val="000000" w:themeColor="text1"/>
        </w:rPr>
        <w:t xml:space="preserve">(a) resolving ambiguities; </w:t>
      </w:r>
    </w:p>
    <w:p w14:paraId="06C7079A" w14:textId="77777777" w:rsidR="005D3D49" w:rsidRPr="005D3D49" w:rsidRDefault="005D3D49" w:rsidP="005D3D49">
      <w:pPr>
        <w:pStyle w:val="BodyA"/>
        <w:rPr>
          <w:rFonts w:ascii="Arial" w:hAnsi="Arial" w:cs="Arial"/>
          <w:color w:val="000000" w:themeColor="text1"/>
        </w:rPr>
      </w:pPr>
      <w:r w:rsidRPr="005D3D49">
        <w:rPr>
          <w:rFonts w:ascii="Arial" w:hAnsi="Arial" w:cs="Arial"/>
          <w:color w:val="000000" w:themeColor="text1"/>
        </w:rPr>
        <w:t>(b) removing doubts or anomalies; or</w:t>
      </w:r>
    </w:p>
    <w:p w14:paraId="1C7B557F" w14:textId="06F720F2" w:rsidR="005D3D49" w:rsidRDefault="005D3D49" w:rsidP="005D3D49">
      <w:pPr>
        <w:pStyle w:val="BodyA"/>
        <w:rPr>
          <w:rFonts w:ascii="Arial" w:hAnsi="Arial" w:cs="Arial"/>
          <w:color w:val="000000" w:themeColor="text1"/>
        </w:rPr>
      </w:pPr>
      <w:r w:rsidRPr="005D3D49">
        <w:rPr>
          <w:rFonts w:ascii="Arial" w:hAnsi="Arial" w:cs="Arial"/>
          <w:color w:val="000000" w:themeColor="text1"/>
        </w:rPr>
        <w:t xml:space="preserve">(c) facilitating improvement in the clarity or accessibility of the law (including by omitting anything which is legally unnecessary). </w:t>
      </w:r>
    </w:p>
    <w:p w14:paraId="51B7A0E8" w14:textId="0CA4B894" w:rsidR="005D3D49" w:rsidRDefault="005D3D49" w:rsidP="005D3D49">
      <w:pPr>
        <w:pStyle w:val="BodyA"/>
        <w:rPr>
          <w:rFonts w:ascii="Arial" w:hAnsi="Arial" w:cs="Arial"/>
          <w:color w:val="000000" w:themeColor="text1"/>
        </w:rPr>
      </w:pPr>
    </w:p>
    <w:p w14:paraId="2649C681" w14:textId="39767B4D" w:rsidR="005D3D49" w:rsidRPr="005D3D49" w:rsidRDefault="005D3D49" w:rsidP="005D3D49">
      <w:pPr>
        <w:pStyle w:val="BodyA"/>
        <w:rPr>
          <w:rFonts w:ascii="Arial" w:hAnsi="Arial" w:cs="Arial"/>
        </w:rPr>
      </w:pPr>
      <w:r w:rsidRPr="00954B81">
        <w:rPr>
          <w:rFonts w:ascii="Arial" w:hAnsi="Arial" w:cs="Arial"/>
        </w:rPr>
        <w:t xml:space="preserve">These are laudable objectives for creating better legislation, but we take the view that it would be important for the national authority to consult broadly on the nature of the changes contemplated before proceeding to legislate. </w:t>
      </w:r>
    </w:p>
    <w:p w14:paraId="607C5BB1" w14:textId="1DD6859F" w:rsidR="005D3D49" w:rsidRDefault="005D3D49" w:rsidP="005D3D49">
      <w:pPr>
        <w:pStyle w:val="BodyA"/>
        <w:rPr>
          <w:rFonts w:ascii="Arial" w:hAnsi="Arial" w:cs="Arial"/>
          <w:color w:val="000000" w:themeColor="text1"/>
        </w:rPr>
      </w:pPr>
    </w:p>
    <w:p w14:paraId="0D552CAC" w14:textId="77777777" w:rsidR="005D3D49" w:rsidRPr="005D3D49" w:rsidRDefault="005D3D49" w:rsidP="005D3D49">
      <w:pPr>
        <w:pStyle w:val="BodyA"/>
        <w:rPr>
          <w:rFonts w:ascii="Arial" w:hAnsi="Arial" w:cs="Arial"/>
          <w:color w:val="000000" w:themeColor="text1"/>
        </w:rPr>
      </w:pPr>
      <w:r w:rsidRPr="005D3D49">
        <w:rPr>
          <w:rFonts w:ascii="Arial" w:hAnsi="Arial" w:cs="Arial"/>
          <w:color w:val="000000" w:themeColor="text1"/>
        </w:rPr>
        <w:t>It is also suggested that subsection (3) should make it clear that these are the only changes which can be made by using different words or concepts.</w:t>
      </w:r>
    </w:p>
    <w:p w14:paraId="37CE5866" w14:textId="77777777" w:rsidR="005D3D49" w:rsidRDefault="005D3D49" w:rsidP="005D3D49">
      <w:pPr>
        <w:pStyle w:val="BodyA"/>
        <w:rPr>
          <w:rFonts w:ascii="Arial" w:hAnsi="Arial" w:cs="Arial"/>
          <w:color w:val="000000" w:themeColor="text1"/>
        </w:rPr>
      </w:pPr>
    </w:p>
    <w:p w14:paraId="1FAA89BA" w14:textId="44318751" w:rsidR="002F1595" w:rsidRPr="006C135D" w:rsidRDefault="002F1595" w:rsidP="005D3D49">
      <w:pPr>
        <w:pStyle w:val="BodyA"/>
        <w:rPr>
          <w:rFonts w:ascii="Arial" w:hAnsi="Arial" w:cs="Arial"/>
        </w:rPr>
      </w:pPr>
      <w:r w:rsidRPr="006C135D">
        <w:rPr>
          <w:rFonts w:ascii="Arial" w:hAnsi="Arial" w:cs="Arial"/>
        </w:rPr>
        <w:t xml:space="preserve">Subsection (5) provides that the provision that may be made by regulations under section 12 or 13 may be made by modifying any enactment. This is a very wide Henry VIII power the necessity for which the Government should explain. </w:t>
      </w:r>
    </w:p>
    <w:p w14:paraId="6C7271AB" w14:textId="77777777" w:rsidR="002F1595" w:rsidRPr="006C135D" w:rsidRDefault="002F1595" w:rsidP="005D3D49">
      <w:pPr>
        <w:pStyle w:val="BodyA"/>
        <w:rPr>
          <w:rFonts w:ascii="Arial" w:hAnsi="Arial" w:cs="Arial"/>
        </w:rPr>
      </w:pPr>
    </w:p>
    <w:p w14:paraId="7D7FA9CC" w14:textId="61BF4C04" w:rsidR="002F1595" w:rsidRPr="006C135D" w:rsidRDefault="002F1595" w:rsidP="005D3D49">
      <w:pPr>
        <w:pStyle w:val="BodyA"/>
        <w:rPr>
          <w:rFonts w:ascii="Arial" w:hAnsi="Arial" w:cs="Arial"/>
          <w:b/>
          <w:bCs/>
          <w:color w:val="244061" w:themeColor="accent1" w:themeShade="80"/>
        </w:rPr>
      </w:pPr>
      <w:r w:rsidRPr="006C135D">
        <w:rPr>
          <w:rFonts w:ascii="Arial" w:hAnsi="Arial" w:cs="Arial"/>
          <w:b/>
          <w:bCs/>
          <w:color w:val="244061" w:themeColor="accent1" w:themeShade="80"/>
        </w:rPr>
        <w:t>15</w:t>
      </w:r>
      <w:r w:rsidR="006C135D"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Powers to revoke or replace</w:t>
      </w:r>
    </w:p>
    <w:p w14:paraId="25A200E8" w14:textId="77777777" w:rsidR="002F1595" w:rsidRPr="006C135D" w:rsidRDefault="002F1595" w:rsidP="005D3D49">
      <w:pPr>
        <w:pStyle w:val="BodyA"/>
        <w:rPr>
          <w:rFonts w:ascii="Arial" w:hAnsi="Arial" w:cs="Arial"/>
        </w:rPr>
      </w:pPr>
    </w:p>
    <w:p w14:paraId="53097941" w14:textId="77777777" w:rsidR="002F1595" w:rsidRPr="006C135D" w:rsidRDefault="002F1595" w:rsidP="005D3D49">
      <w:pPr>
        <w:pStyle w:val="BodyA"/>
        <w:rPr>
          <w:rFonts w:ascii="Arial" w:hAnsi="Arial" w:cs="Arial"/>
          <w:b/>
          <w:bCs/>
        </w:rPr>
      </w:pPr>
      <w:r w:rsidRPr="006C135D">
        <w:rPr>
          <w:rFonts w:ascii="Arial" w:hAnsi="Arial" w:cs="Arial"/>
          <w:b/>
          <w:bCs/>
        </w:rPr>
        <w:t xml:space="preserve">Our Comment </w:t>
      </w:r>
    </w:p>
    <w:p w14:paraId="2D7D9C90" w14:textId="77777777" w:rsidR="002F1595" w:rsidRPr="006C135D" w:rsidRDefault="002F1595" w:rsidP="005D3D49">
      <w:pPr>
        <w:pStyle w:val="BodyA"/>
        <w:rPr>
          <w:rFonts w:ascii="Arial" w:hAnsi="Arial" w:cs="Arial"/>
        </w:rPr>
      </w:pPr>
    </w:p>
    <w:p w14:paraId="46EC1402" w14:textId="77777777" w:rsidR="002F1595" w:rsidRPr="006C135D" w:rsidRDefault="002F1595" w:rsidP="005D3D49">
      <w:pPr>
        <w:pStyle w:val="BodyA"/>
        <w:rPr>
          <w:rFonts w:ascii="Arial" w:hAnsi="Arial" w:cs="Arial"/>
        </w:rPr>
      </w:pPr>
      <w:r w:rsidRPr="006C135D">
        <w:rPr>
          <w:rFonts w:ascii="Arial" w:hAnsi="Arial" w:cs="Arial"/>
        </w:rPr>
        <w:t>Clause 15(1) is a declaratory principle that a national authority may revoke any secondary retained EU law without replacing it.</w:t>
      </w:r>
    </w:p>
    <w:p w14:paraId="69C86671" w14:textId="77777777" w:rsidR="002F1595" w:rsidRPr="006C135D" w:rsidRDefault="002F1595" w:rsidP="005D3D49">
      <w:pPr>
        <w:pStyle w:val="BodyA"/>
        <w:rPr>
          <w:rFonts w:ascii="Arial" w:hAnsi="Arial" w:cs="Arial"/>
        </w:rPr>
      </w:pPr>
    </w:p>
    <w:p w14:paraId="3C834AB6" w14:textId="5172ADCF" w:rsidR="00145D2D" w:rsidRPr="00954B81" w:rsidRDefault="002F1595" w:rsidP="00145D2D">
      <w:pPr>
        <w:pStyle w:val="BodyA"/>
        <w:rPr>
          <w:rFonts w:ascii="Arial" w:hAnsi="Arial" w:cs="Arial"/>
          <w:color w:val="auto"/>
        </w:rPr>
      </w:pPr>
      <w:r w:rsidRPr="006C135D">
        <w:rPr>
          <w:rFonts w:ascii="Arial" w:hAnsi="Arial" w:cs="Arial"/>
        </w:rPr>
        <w:lastRenderedPageBreak/>
        <w:t xml:space="preserve">Subsection (2) and (3) provide that a national authority may either replace the revoked law with a provision which it considers appropriate to achieve the same or similar objectives or make </w:t>
      </w:r>
      <w:r w:rsidR="00B96388" w:rsidRPr="006C135D">
        <w:rPr>
          <w:rFonts w:ascii="Arial" w:hAnsi="Arial" w:cs="Arial"/>
        </w:rPr>
        <w:t>an alternative</w:t>
      </w:r>
      <w:r w:rsidRPr="006C135D">
        <w:rPr>
          <w:rFonts w:ascii="Arial" w:hAnsi="Arial" w:cs="Arial"/>
        </w:rPr>
        <w:t xml:space="preserve"> provision as it considers appropriate. We take the view that the national authority should be under an obligation to consult those who may be affected before revoking, replacing or enacting an alternative provision.</w:t>
      </w:r>
      <w:r w:rsidR="00145D2D">
        <w:rPr>
          <w:rFonts w:ascii="Arial" w:hAnsi="Arial" w:cs="Arial"/>
        </w:rPr>
        <w:t xml:space="preserve"> </w:t>
      </w:r>
      <w:r w:rsidR="00145D2D">
        <w:rPr>
          <w:rFonts w:ascii="Arial" w:hAnsi="Arial" w:cs="Arial"/>
          <w:color w:val="auto"/>
        </w:rPr>
        <w:t xml:space="preserve">Will the replacement be capable of further amendment in the future? </w:t>
      </w:r>
    </w:p>
    <w:p w14:paraId="00EB85BD" w14:textId="77777777" w:rsidR="002F1595" w:rsidRPr="006C135D" w:rsidRDefault="002F1595" w:rsidP="005D3D49">
      <w:pPr>
        <w:pStyle w:val="BodyA"/>
        <w:rPr>
          <w:rFonts w:ascii="Arial" w:hAnsi="Arial" w:cs="Arial"/>
        </w:rPr>
      </w:pPr>
    </w:p>
    <w:p w14:paraId="66765D47" w14:textId="77777777" w:rsidR="002F1595" w:rsidRPr="006C135D" w:rsidRDefault="002F1595" w:rsidP="005D3D49">
      <w:pPr>
        <w:pStyle w:val="BodyA"/>
        <w:rPr>
          <w:rFonts w:ascii="Arial" w:hAnsi="Arial" w:cs="Arial"/>
        </w:rPr>
      </w:pPr>
      <w:r w:rsidRPr="006C135D">
        <w:rPr>
          <w:rFonts w:ascii="Arial" w:hAnsi="Arial" w:cs="Arial"/>
        </w:rPr>
        <w:t xml:space="preserve">Subsection (4) sets out the parameters for both the replacement and alternative legislation. This provision should reflect the analogous provision in section 8 of the EUWA.  </w:t>
      </w:r>
    </w:p>
    <w:p w14:paraId="65E560C8" w14:textId="77777777" w:rsidR="002F1595" w:rsidRPr="006C135D" w:rsidRDefault="002F1595" w:rsidP="005D3D49">
      <w:pPr>
        <w:pStyle w:val="BodyA"/>
        <w:rPr>
          <w:rFonts w:ascii="Arial" w:hAnsi="Arial" w:cs="Arial"/>
        </w:rPr>
      </w:pPr>
    </w:p>
    <w:p w14:paraId="2BBEC4DB" w14:textId="77777777" w:rsidR="002F1595" w:rsidRPr="006C135D" w:rsidRDefault="002F1595" w:rsidP="005D3D49">
      <w:pPr>
        <w:pStyle w:val="BodyA"/>
        <w:rPr>
          <w:rFonts w:ascii="Arial" w:hAnsi="Arial" w:cs="Arial"/>
          <w:b/>
          <w:bCs/>
        </w:rPr>
      </w:pPr>
      <w:r w:rsidRPr="006C135D">
        <w:rPr>
          <w:rFonts w:ascii="Arial" w:hAnsi="Arial" w:cs="Arial"/>
        </w:rPr>
        <w:t>Subsection (9) provides that no regulations may be made under this section after 23 June 2026. Our previous comments in relation to this formulation apply.</w:t>
      </w:r>
    </w:p>
    <w:p w14:paraId="5092C41F" w14:textId="77777777" w:rsidR="002F1595" w:rsidRPr="006C135D" w:rsidRDefault="002F1595" w:rsidP="005D3D49">
      <w:pPr>
        <w:pStyle w:val="BodyA"/>
        <w:rPr>
          <w:rFonts w:ascii="Arial" w:hAnsi="Arial" w:cs="Arial"/>
        </w:rPr>
      </w:pPr>
    </w:p>
    <w:p w14:paraId="297ACCCE" w14:textId="77777777" w:rsidR="002F1595" w:rsidRPr="006C135D" w:rsidRDefault="002F1595" w:rsidP="005D3D49">
      <w:pPr>
        <w:pStyle w:val="BodyA"/>
        <w:rPr>
          <w:rFonts w:ascii="Arial" w:hAnsi="Arial" w:cs="Arial"/>
        </w:rPr>
      </w:pPr>
      <w:r w:rsidRPr="006C135D">
        <w:rPr>
          <w:rFonts w:ascii="Arial" w:hAnsi="Arial" w:cs="Arial"/>
        </w:rPr>
        <w:t>Subsections (5) and (6) require that no provision may be made by a national authority unless the authority considers that the overall effect of the changes does not increase the regulatory burden.</w:t>
      </w:r>
    </w:p>
    <w:p w14:paraId="670FB1C2" w14:textId="77777777" w:rsidR="002F1595" w:rsidRPr="006C135D" w:rsidRDefault="002F1595" w:rsidP="005D3D49">
      <w:pPr>
        <w:pStyle w:val="BodyA"/>
        <w:rPr>
          <w:rFonts w:ascii="Arial" w:hAnsi="Arial" w:cs="Arial"/>
        </w:rPr>
      </w:pPr>
    </w:p>
    <w:p w14:paraId="432C80A8" w14:textId="47427B3E" w:rsidR="002F1595" w:rsidRPr="006C135D" w:rsidRDefault="002F1595" w:rsidP="005D3D49">
      <w:pPr>
        <w:pStyle w:val="BodyA"/>
        <w:rPr>
          <w:rFonts w:ascii="Arial" w:hAnsi="Arial" w:cs="Arial"/>
        </w:rPr>
      </w:pPr>
      <w:r w:rsidRPr="006C135D">
        <w:rPr>
          <w:rFonts w:ascii="Arial" w:hAnsi="Arial" w:cs="Arial"/>
        </w:rPr>
        <w:t xml:space="preserve">Subsection (10) defines “burden” as including (among other things)— (a) a financial cost; (b) an administrative inconvenience; (c) </w:t>
      </w:r>
      <w:bookmarkStart w:id="5" w:name="_Hlk116309896"/>
      <w:r w:rsidRPr="006C135D">
        <w:rPr>
          <w:rFonts w:ascii="Arial" w:hAnsi="Arial" w:cs="Arial"/>
        </w:rPr>
        <w:t>an obstacle to trade or innovation</w:t>
      </w:r>
      <w:bookmarkEnd w:id="5"/>
      <w:r w:rsidRPr="006C135D">
        <w:rPr>
          <w:rFonts w:ascii="Arial" w:hAnsi="Arial" w:cs="Arial"/>
        </w:rPr>
        <w:t>; (d) an obstacle to efficiency, productivity or profitability; (e) a sanction (criminal or otherwise) which affects the carrying on of any lawful activity</w:t>
      </w:r>
      <w:r w:rsidR="00145D2D">
        <w:rPr>
          <w:rFonts w:ascii="Arial" w:hAnsi="Arial" w:cs="Arial"/>
        </w:rPr>
        <w:t>.</w:t>
      </w:r>
    </w:p>
    <w:p w14:paraId="1D508C7E" w14:textId="77777777" w:rsidR="002F1595" w:rsidRPr="006C135D" w:rsidRDefault="002F1595" w:rsidP="002F1595">
      <w:pPr>
        <w:pStyle w:val="legclearfix"/>
        <w:shd w:val="clear" w:color="auto" w:fill="FFFFFF"/>
        <w:spacing w:before="0" w:beforeAutospacing="0" w:after="120" w:afterAutospacing="0" w:line="360" w:lineRule="atLeast"/>
        <w:rPr>
          <w:rFonts w:ascii="Arial" w:hAnsi="Arial" w:cs="Arial"/>
          <w:color w:val="000000"/>
          <w:sz w:val="22"/>
          <w:szCs w:val="22"/>
        </w:rPr>
      </w:pPr>
      <w:r w:rsidRPr="006C135D">
        <w:rPr>
          <w:rFonts w:ascii="Arial" w:hAnsi="Arial" w:cs="Arial"/>
          <w:sz w:val="22"/>
          <w:szCs w:val="22"/>
        </w:rPr>
        <w:t>This definition is slightly different from the definition of “burden” in section 1</w:t>
      </w:r>
      <w:r w:rsidRPr="006C135D">
        <w:rPr>
          <w:rStyle w:val="legds"/>
          <w:rFonts w:ascii="Arial" w:hAnsi="Arial" w:cs="Arial"/>
          <w:color w:val="000000"/>
          <w:sz w:val="22"/>
          <w:szCs w:val="22"/>
        </w:rPr>
        <w:t>(3) of the Legislative and Regulatory Reform Act 2006 which means any of the following—</w:t>
      </w:r>
    </w:p>
    <w:p w14:paraId="362A80FC" w14:textId="77777777" w:rsidR="002F1595" w:rsidRPr="006C135D" w:rsidRDefault="002F1595" w:rsidP="002F1595">
      <w:pPr>
        <w:pStyle w:val="legclearfix"/>
        <w:shd w:val="clear" w:color="auto" w:fill="FFFFFF"/>
        <w:spacing w:before="0" w:beforeAutospacing="0" w:after="120" w:afterAutospacing="0" w:line="360" w:lineRule="atLeast"/>
        <w:rPr>
          <w:rFonts w:ascii="Arial" w:hAnsi="Arial" w:cs="Arial"/>
          <w:color w:val="000000"/>
          <w:sz w:val="22"/>
          <w:szCs w:val="22"/>
        </w:rPr>
      </w:pPr>
      <w:r w:rsidRPr="006C135D">
        <w:rPr>
          <w:rStyle w:val="legds"/>
          <w:rFonts w:ascii="Arial" w:hAnsi="Arial" w:cs="Arial"/>
          <w:color w:val="000000"/>
          <w:sz w:val="22"/>
          <w:szCs w:val="22"/>
        </w:rPr>
        <w:t>(a) a financial cost;</w:t>
      </w:r>
    </w:p>
    <w:p w14:paraId="17A31AC4" w14:textId="77777777" w:rsidR="002F1595" w:rsidRPr="006C135D" w:rsidRDefault="002F1595" w:rsidP="002F1595">
      <w:pPr>
        <w:pStyle w:val="legclearfix"/>
        <w:shd w:val="clear" w:color="auto" w:fill="FFFFFF"/>
        <w:spacing w:before="0" w:beforeAutospacing="0" w:after="120" w:afterAutospacing="0" w:line="360" w:lineRule="atLeast"/>
        <w:rPr>
          <w:rFonts w:ascii="Arial" w:hAnsi="Arial" w:cs="Arial"/>
          <w:color w:val="000000"/>
          <w:sz w:val="22"/>
          <w:szCs w:val="22"/>
        </w:rPr>
      </w:pPr>
      <w:r w:rsidRPr="006C135D">
        <w:rPr>
          <w:rStyle w:val="legds"/>
          <w:rFonts w:ascii="Arial" w:hAnsi="Arial" w:cs="Arial"/>
          <w:color w:val="000000"/>
          <w:sz w:val="22"/>
          <w:szCs w:val="22"/>
        </w:rPr>
        <w:t>(b) an administrative inconvenience;</w:t>
      </w:r>
    </w:p>
    <w:p w14:paraId="67469529" w14:textId="77777777" w:rsidR="002F1595" w:rsidRPr="006C135D" w:rsidRDefault="002F1595" w:rsidP="002F1595">
      <w:pPr>
        <w:pStyle w:val="legclearfix"/>
        <w:shd w:val="clear" w:color="auto" w:fill="FFFFFF"/>
        <w:spacing w:before="0" w:beforeAutospacing="0" w:after="120" w:afterAutospacing="0" w:line="360" w:lineRule="atLeast"/>
        <w:rPr>
          <w:rFonts w:ascii="Arial" w:hAnsi="Arial" w:cs="Arial"/>
          <w:color w:val="000000"/>
          <w:sz w:val="22"/>
          <w:szCs w:val="22"/>
        </w:rPr>
      </w:pPr>
      <w:r w:rsidRPr="006C135D">
        <w:rPr>
          <w:rStyle w:val="legds"/>
          <w:rFonts w:ascii="Arial" w:hAnsi="Arial" w:cs="Arial"/>
          <w:color w:val="000000"/>
          <w:sz w:val="22"/>
          <w:szCs w:val="22"/>
        </w:rPr>
        <w:t>(c) an obstacle to efficiency, productivity or profitability; or</w:t>
      </w:r>
    </w:p>
    <w:p w14:paraId="19D53C6F" w14:textId="77777777" w:rsidR="002F1595" w:rsidRPr="006C135D" w:rsidRDefault="002F1595" w:rsidP="002F1595">
      <w:pPr>
        <w:pStyle w:val="legclearfix"/>
        <w:shd w:val="clear" w:color="auto" w:fill="FFFFFF"/>
        <w:spacing w:before="0" w:beforeAutospacing="0" w:after="120" w:afterAutospacing="0" w:line="360" w:lineRule="atLeast"/>
        <w:rPr>
          <w:rStyle w:val="legds"/>
          <w:rFonts w:ascii="Arial" w:hAnsi="Arial" w:cs="Arial"/>
          <w:color w:val="000000"/>
          <w:sz w:val="22"/>
          <w:szCs w:val="22"/>
        </w:rPr>
      </w:pPr>
      <w:r w:rsidRPr="006C135D">
        <w:rPr>
          <w:rStyle w:val="legds"/>
          <w:rFonts w:ascii="Arial" w:hAnsi="Arial" w:cs="Arial"/>
          <w:color w:val="000000"/>
          <w:sz w:val="22"/>
          <w:szCs w:val="22"/>
        </w:rPr>
        <w:t>(d) a sanction, criminal or otherwise, which affects the carrying on of any lawful activity.</w:t>
      </w:r>
    </w:p>
    <w:p w14:paraId="247C2F70" w14:textId="77777777" w:rsidR="002F1595" w:rsidRPr="006C135D" w:rsidRDefault="002F1595" w:rsidP="002F1595">
      <w:pPr>
        <w:pStyle w:val="legclearfix"/>
        <w:shd w:val="clear" w:color="auto" w:fill="FFFFFF"/>
        <w:spacing w:before="0" w:beforeAutospacing="0" w:after="120" w:afterAutospacing="0" w:line="360" w:lineRule="atLeast"/>
        <w:rPr>
          <w:rStyle w:val="legds"/>
          <w:rFonts w:ascii="Arial" w:hAnsi="Arial" w:cs="Arial"/>
          <w:color w:val="000000"/>
          <w:sz w:val="22"/>
          <w:szCs w:val="22"/>
        </w:rPr>
      </w:pPr>
      <w:r w:rsidRPr="006C135D">
        <w:rPr>
          <w:rStyle w:val="legds"/>
          <w:rFonts w:ascii="Arial" w:hAnsi="Arial" w:cs="Arial"/>
          <w:color w:val="000000"/>
          <w:sz w:val="22"/>
          <w:szCs w:val="22"/>
        </w:rPr>
        <w:t>“Burden” defined under the Bill is in a non-exhaustive list – and “among other things” extends to include “</w:t>
      </w:r>
      <w:r w:rsidRPr="006C135D">
        <w:rPr>
          <w:rFonts w:ascii="Arial" w:hAnsi="Arial" w:cs="Arial"/>
          <w:sz w:val="22"/>
          <w:szCs w:val="22"/>
        </w:rPr>
        <w:t xml:space="preserve">an obstacle to trade or innovation”. The Government should explain how the two statutory definitions of “burden” apply especially as section 1(6) of the </w:t>
      </w:r>
      <w:r w:rsidRPr="006C135D">
        <w:rPr>
          <w:rStyle w:val="legds"/>
          <w:rFonts w:ascii="Arial" w:hAnsi="Arial" w:cs="Arial"/>
          <w:color w:val="000000"/>
          <w:sz w:val="22"/>
          <w:szCs w:val="22"/>
        </w:rPr>
        <w:t>Legislative and Regulatory Reform Act 2006 is amended by clause 17 of the Bill but section 1(3) is not.</w:t>
      </w:r>
    </w:p>
    <w:p w14:paraId="573A1182" w14:textId="77777777" w:rsidR="002F1595" w:rsidRPr="006C135D" w:rsidRDefault="002F1595" w:rsidP="002F1595">
      <w:pPr>
        <w:pStyle w:val="BodyA"/>
        <w:rPr>
          <w:rFonts w:ascii="Arial" w:hAnsi="Arial" w:cs="Arial"/>
        </w:rPr>
      </w:pPr>
    </w:p>
    <w:p w14:paraId="69BE7F37" w14:textId="67DAAFB5" w:rsidR="002F1595" w:rsidRPr="006C135D" w:rsidRDefault="002F1595" w:rsidP="002F1595">
      <w:pPr>
        <w:pStyle w:val="BodyA"/>
        <w:rPr>
          <w:rFonts w:ascii="Arial" w:hAnsi="Arial" w:cs="Arial"/>
          <w:b/>
          <w:bCs/>
          <w:color w:val="244061" w:themeColor="accent1" w:themeShade="80"/>
        </w:rPr>
      </w:pPr>
      <w:r w:rsidRPr="006C135D">
        <w:rPr>
          <w:rFonts w:ascii="Arial" w:hAnsi="Arial" w:cs="Arial"/>
          <w:b/>
          <w:bCs/>
          <w:color w:val="244061" w:themeColor="accent1" w:themeShade="80"/>
        </w:rPr>
        <w:t>16</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Power to update</w:t>
      </w:r>
    </w:p>
    <w:p w14:paraId="4C235CC3" w14:textId="77777777" w:rsidR="002F1595" w:rsidRPr="006C135D" w:rsidRDefault="002F1595" w:rsidP="002F1595">
      <w:pPr>
        <w:pStyle w:val="BodyA"/>
        <w:rPr>
          <w:rFonts w:ascii="Arial" w:hAnsi="Arial" w:cs="Arial"/>
        </w:rPr>
      </w:pPr>
    </w:p>
    <w:p w14:paraId="03AA8161"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3F32263A" w14:textId="77777777" w:rsidR="002F1595" w:rsidRPr="006C135D" w:rsidRDefault="002F1595" w:rsidP="002F1595">
      <w:pPr>
        <w:pStyle w:val="BodyA"/>
        <w:rPr>
          <w:rFonts w:ascii="Arial" w:hAnsi="Arial" w:cs="Arial"/>
          <w:b/>
          <w:bCs/>
        </w:rPr>
      </w:pPr>
    </w:p>
    <w:p w14:paraId="01F15D8F" w14:textId="77777777" w:rsidR="002F1595" w:rsidRPr="006C135D" w:rsidRDefault="002F1595" w:rsidP="002F1595">
      <w:pPr>
        <w:pStyle w:val="BodyA"/>
        <w:rPr>
          <w:rFonts w:ascii="Arial" w:hAnsi="Arial" w:cs="Arial"/>
        </w:rPr>
      </w:pPr>
      <w:r w:rsidRPr="006C135D">
        <w:rPr>
          <w:rFonts w:ascii="Arial" w:hAnsi="Arial" w:cs="Arial"/>
        </w:rPr>
        <w:t xml:space="preserve">We note that the national authority is given power to update regulations any secondary retained EU law, or of any provision made by virtue of section 12, 13 or 15 to take account of— (a) changes in technology, or (b) developments in scientific understanding. </w:t>
      </w:r>
    </w:p>
    <w:p w14:paraId="239EEC4D" w14:textId="77777777" w:rsidR="002F1595" w:rsidRPr="006C135D" w:rsidRDefault="002F1595" w:rsidP="002F1595">
      <w:pPr>
        <w:pStyle w:val="BodyA"/>
        <w:rPr>
          <w:rFonts w:ascii="Arial" w:hAnsi="Arial" w:cs="Arial"/>
        </w:rPr>
      </w:pPr>
    </w:p>
    <w:p w14:paraId="22DC060A" w14:textId="77777777" w:rsidR="002F1595" w:rsidRPr="006C135D" w:rsidRDefault="002F1595" w:rsidP="002F1595">
      <w:pPr>
        <w:pStyle w:val="BodyA"/>
        <w:rPr>
          <w:rFonts w:ascii="Arial" w:hAnsi="Arial" w:cs="Arial"/>
        </w:rPr>
      </w:pPr>
      <w:r w:rsidRPr="006C135D">
        <w:rPr>
          <w:rFonts w:ascii="Arial" w:hAnsi="Arial" w:cs="Arial"/>
        </w:rPr>
        <w:t xml:space="preserve">This limitation on the reason for such updating should also reflect other activities such as changes in society or economics. </w:t>
      </w:r>
    </w:p>
    <w:p w14:paraId="45A99158" w14:textId="77777777" w:rsidR="002F1595" w:rsidRPr="006C135D" w:rsidRDefault="002F1595" w:rsidP="002F1595">
      <w:pPr>
        <w:pStyle w:val="BodyA"/>
        <w:rPr>
          <w:rFonts w:ascii="Arial" w:hAnsi="Arial" w:cs="Arial"/>
        </w:rPr>
      </w:pPr>
    </w:p>
    <w:p w14:paraId="1539BED4" w14:textId="4B93AB8A" w:rsidR="002F1595" w:rsidRPr="006C135D" w:rsidRDefault="002F1595" w:rsidP="002F1595">
      <w:pPr>
        <w:pStyle w:val="BodyA"/>
        <w:rPr>
          <w:rFonts w:ascii="Arial" w:hAnsi="Arial" w:cs="Arial"/>
          <w:b/>
          <w:bCs/>
          <w:color w:val="244061" w:themeColor="accent1" w:themeShade="80"/>
        </w:rPr>
      </w:pPr>
      <w:r w:rsidRPr="006C135D">
        <w:rPr>
          <w:rFonts w:ascii="Arial" w:hAnsi="Arial" w:cs="Arial"/>
          <w:b/>
          <w:bCs/>
          <w:color w:val="244061" w:themeColor="accent1" w:themeShade="80"/>
        </w:rPr>
        <w:t>17</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Power to remove or reduce burdens</w:t>
      </w:r>
    </w:p>
    <w:p w14:paraId="635A8708" w14:textId="77777777" w:rsidR="002F1595" w:rsidRPr="006C135D" w:rsidRDefault="002F1595" w:rsidP="002F1595">
      <w:pPr>
        <w:pStyle w:val="BodyA"/>
        <w:rPr>
          <w:rFonts w:ascii="Arial" w:hAnsi="Arial" w:cs="Arial"/>
        </w:rPr>
      </w:pPr>
    </w:p>
    <w:p w14:paraId="22FB2AB4"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18A20B58" w14:textId="77777777" w:rsidR="002F1595" w:rsidRPr="006C135D" w:rsidRDefault="002F1595" w:rsidP="002F1595">
      <w:pPr>
        <w:pStyle w:val="BodyA"/>
        <w:rPr>
          <w:rFonts w:ascii="Arial" w:hAnsi="Arial" w:cs="Arial"/>
        </w:rPr>
      </w:pPr>
    </w:p>
    <w:p w14:paraId="787A2DA1" w14:textId="7B289F7A" w:rsidR="002F1595" w:rsidRPr="006C135D" w:rsidRDefault="002F1595" w:rsidP="002F1595">
      <w:pPr>
        <w:pStyle w:val="BodyA"/>
        <w:rPr>
          <w:rFonts w:ascii="Arial" w:hAnsi="Arial" w:cs="Arial"/>
          <w:b/>
          <w:bCs/>
        </w:rPr>
      </w:pPr>
      <w:r w:rsidRPr="006C135D">
        <w:rPr>
          <w:rFonts w:ascii="Arial" w:hAnsi="Arial" w:cs="Arial"/>
        </w:rPr>
        <w:t>We have no comment to make.</w:t>
      </w:r>
    </w:p>
    <w:p w14:paraId="023562FE" w14:textId="77777777" w:rsidR="002F1595" w:rsidRPr="006C135D" w:rsidRDefault="002F1595" w:rsidP="002F1595">
      <w:pPr>
        <w:pStyle w:val="BodyA"/>
        <w:rPr>
          <w:rFonts w:ascii="Arial" w:hAnsi="Arial" w:cs="Arial"/>
        </w:rPr>
      </w:pPr>
    </w:p>
    <w:p w14:paraId="55235428" w14:textId="77777777" w:rsidR="002F1595" w:rsidRPr="006C135D" w:rsidRDefault="002F1595" w:rsidP="002F1595">
      <w:pPr>
        <w:pStyle w:val="BodyA"/>
        <w:rPr>
          <w:rFonts w:ascii="Arial" w:hAnsi="Arial" w:cs="Arial"/>
          <w:i/>
          <w:iCs/>
        </w:rPr>
      </w:pPr>
      <w:r w:rsidRPr="006C135D">
        <w:rPr>
          <w:rFonts w:ascii="Arial" w:hAnsi="Arial" w:cs="Arial"/>
          <w:i/>
          <w:iCs/>
        </w:rPr>
        <w:lastRenderedPageBreak/>
        <w:t>Business impact target</w:t>
      </w:r>
    </w:p>
    <w:p w14:paraId="476070FA" w14:textId="77777777" w:rsidR="002F1595" w:rsidRPr="006C135D" w:rsidRDefault="002F1595" w:rsidP="002F1595">
      <w:pPr>
        <w:pStyle w:val="BodyA"/>
        <w:rPr>
          <w:rFonts w:ascii="Arial" w:hAnsi="Arial" w:cs="Arial"/>
        </w:rPr>
      </w:pPr>
    </w:p>
    <w:p w14:paraId="59DB0D9F" w14:textId="607AFD0F" w:rsidR="002F1595" w:rsidRPr="006C135D" w:rsidRDefault="002F1595" w:rsidP="002F1595">
      <w:pPr>
        <w:pStyle w:val="BodyA"/>
        <w:rPr>
          <w:rFonts w:ascii="Arial" w:hAnsi="Arial" w:cs="Arial"/>
          <w:b/>
          <w:bCs/>
          <w:color w:val="244061" w:themeColor="accent1" w:themeShade="80"/>
        </w:rPr>
      </w:pPr>
      <w:r w:rsidRPr="006C135D">
        <w:rPr>
          <w:rFonts w:ascii="Arial" w:hAnsi="Arial" w:cs="Arial"/>
          <w:b/>
          <w:bCs/>
          <w:color w:val="244061" w:themeColor="accent1" w:themeShade="80"/>
        </w:rPr>
        <w:t>18</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Abolition of business impact target</w:t>
      </w:r>
    </w:p>
    <w:p w14:paraId="43A66EB1" w14:textId="77777777" w:rsidR="002F1595" w:rsidRPr="006C135D" w:rsidRDefault="002F1595" w:rsidP="002F1595">
      <w:pPr>
        <w:pStyle w:val="BodyA"/>
        <w:rPr>
          <w:rFonts w:ascii="Arial" w:hAnsi="Arial" w:cs="Arial"/>
        </w:rPr>
      </w:pPr>
    </w:p>
    <w:p w14:paraId="62F165A6"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61D579FA" w14:textId="77777777" w:rsidR="002F1595" w:rsidRPr="006C135D" w:rsidRDefault="002F1595" w:rsidP="002F1595">
      <w:pPr>
        <w:pStyle w:val="BodyA"/>
        <w:rPr>
          <w:rFonts w:ascii="Arial" w:hAnsi="Arial" w:cs="Arial"/>
          <w:b/>
          <w:bCs/>
        </w:rPr>
      </w:pPr>
    </w:p>
    <w:p w14:paraId="55B56281" w14:textId="77777777" w:rsidR="002F1595" w:rsidRPr="006C135D" w:rsidRDefault="002F1595" w:rsidP="002F1595">
      <w:pPr>
        <w:pStyle w:val="BodyA"/>
        <w:rPr>
          <w:rFonts w:ascii="Arial" w:hAnsi="Arial" w:cs="Arial"/>
          <w:b/>
          <w:bCs/>
        </w:rPr>
      </w:pPr>
      <w:r w:rsidRPr="006C135D">
        <w:rPr>
          <w:rFonts w:ascii="Arial" w:hAnsi="Arial" w:cs="Arial"/>
        </w:rPr>
        <w:t>We have no comment to make.</w:t>
      </w:r>
    </w:p>
    <w:p w14:paraId="2A90E447" w14:textId="77777777" w:rsidR="002F1595" w:rsidRPr="006C135D" w:rsidRDefault="002F1595" w:rsidP="002F1595">
      <w:pPr>
        <w:pStyle w:val="BodyA"/>
        <w:rPr>
          <w:rFonts w:ascii="Arial" w:hAnsi="Arial" w:cs="Arial"/>
        </w:rPr>
      </w:pPr>
    </w:p>
    <w:p w14:paraId="13924379" w14:textId="694B1E76" w:rsidR="002F1595" w:rsidRPr="006C135D" w:rsidRDefault="002F1595" w:rsidP="002F1595">
      <w:pPr>
        <w:pStyle w:val="BodyA"/>
        <w:rPr>
          <w:rFonts w:ascii="Arial" w:hAnsi="Arial" w:cs="Arial"/>
          <w:b/>
          <w:bCs/>
          <w:u w:val="single"/>
        </w:rPr>
      </w:pPr>
      <w:r w:rsidRPr="006C135D">
        <w:rPr>
          <w:rFonts w:ascii="Arial" w:hAnsi="Arial" w:cs="Arial"/>
          <w:b/>
          <w:bCs/>
          <w:color w:val="244061" w:themeColor="accent1" w:themeShade="80"/>
        </w:rPr>
        <w:t>19</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Consequential provisio</w:t>
      </w:r>
      <w:r w:rsidRPr="006C135D">
        <w:rPr>
          <w:rFonts w:ascii="Arial" w:hAnsi="Arial" w:cs="Arial"/>
          <w:b/>
          <w:bCs/>
          <w:u w:val="single"/>
        </w:rPr>
        <w:t>n</w:t>
      </w:r>
    </w:p>
    <w:p w14:paraId="6D333DF7" w14:textId="77777777" w:rsidR="002F1595" w:rsidRPr="006C135D" w:rsidRDefault="002F1595" w:rsidP="002F1595">
      <w:pPr>
        <w:pStyle w:val="BodyA"/>
        <w:rPr>
          <w:rFonts w:ascii="Arial" w:hAnsi="Arial" w:cs="Arial"/>
          <w:b/>
          <w:bCs/>
        </w:rPr>
      </w:pPr>
    </w:p>
    <w:p w14:paraId="61DD11BB"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78FE2D70" w14:textId="77777777" w:rsidR="002F1595" w:rsidRPr="006C135D" w:rsidRDefault="002F1595" w:rsidP="002F1595">
      <w:pPr>
        <w:pStyle w:val="BodyA"/>
        <w:rPr>
          <w:rFonts w:ascii="Arial" w:hAnsi="Arial" w:cs="Arial"/>
          <w:b/>
          <w:bCs/>
        </w:rPr>
      </w:pPr>
    </w:p>
    <w:p w14:paraId="4A222137" w14:textId="77777777" w:rsidR="002F1595" w:rsidRPr="006C135D" w:rsidRDefault="002F1595" w:rsidP="002F1595">
      <w:pPr>
        <w:pStyle w:val="BodyA"/>
        <w:rPr>
          <w:rFonts w:ascii="Arial" w:eastAsia="Arial" w:hAnsi="Arial" w:cs="Arial"/>
        </w:rPr>
      </w:pPr>
      <w:r w:rsidRPr="006C135D">
        <w:rPr>
          <w:rFonts w:ascii="Arial" w:hAnsi="Arial" w:cs="Arial"/>
        </w:rPr>
        <w:t>Clause 19 provides that a Minister of the Crown may by regulations make such provision as the Minister considers appropriate in consequence of this Act. We take the view that the Minister should only make regulations which are necessary and therefore objectively justifiable rather than according to the more subjective test of being “appropriate”.</w:t>
      </w:r>
    </w:p>
    <w:p w14:paraId="1A611AD1" w14:textId="77777777" w:rsidR="002F1595" w:rsidRPr="006C135D" w:rsidRDefault="002F1595" w:rsidP="002F1595">
      <w:pPr>
        <w:pStyle w:val="BodyA"/>
        <w:rPr>
          <w:rFonts w:ascii="Arial" w:hAnsi="Arial" w:cs="Arial"/>
        </w:rPr>
      </w:pPr>
    </w:p>
    <w:p w14:paraId="1A4E839E" w14:textId="77777777" w:rsidR="002F1595" w:rsidRPr="006C135D" w:rsidRDefault="002F1595" w:rsidP="002F1595">
      <w:pPr>
        <w:pStyle w:val="BodyA"/>
        <w:rPr>
          <w:rFonts w:ascii="Arial" w:hAnsi="Arial" w:cs="Arial"/>
          <w:i/>
          <w:iCs/>
        </w:rPr>
      </w:pPr>
      <w:r w:rsidRPr="006C135D">
        <w:rPr>
          <w:rFonts w:ascii="Arial" w:hAnsi="Arial" w:cs="Arial"/>
          <w:i/>
          <w:iCs/>
        </w:rPr>
        <w:t>Final provisions</w:t>
      </w:r>
    </w:p>
    <w:p w14:paraId="511C0702" w14:textId="77777777" w:rsidR="002F1595" w:rsidRPr="006C135D" w:rsidRDefault="002F1595" w:rsidP="002F1595">
      <w:pPr>
        <w:pStyle w:val="BodyA"/>
        <w:rPr>
          <w:rFonts w:ascii="Arial" w:hAnsi="Arial" w:cs="Arial"/>
        </w:rPr>
      </w:pPr>
    </w:p>
    <w:p w14:paraId="3B45C3EC" w14:textId="01DC71EF" w:rsidR="002F1595" w:rsidRPr="006C135D" w:rsidRDefault="002F1595" w:rsidP="002F1595">
      <w:pPr>
        <w:pStyle w:val="BodyA"/>
        <w:rPr>
          <w:rFonts w:ascii="Arial" w:hAnsi="Arial" w:cs="Arial"/>
          <w:b/>
          <w:bCs/>
          <w:color w:val="244061" w:themeColor="accent1" w:themeShade="80"/>
        </w:rPr>
      </w:pPr>
      <w:r w:rsidRPr="006C135D">
        <w:rPr>
          <w:rFonts w:ascii="Arial" w:hAnsi="Arial" w:cs="Arial"/>
          <w:b/>
          <w:bCs/>
          <w:color w:val="244061" w:themeColor="accent1" w:themeShade="80"/>
        </w:rPr>
        <w:t>20</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Regulations: general</w:t>
      </w:r>
    </w:p>
    <w:p w14:paraId="7E7A19A9" w14:textId="77777777" w:rsidR="002F1595" w:rsidRPr="006C135D" w:rsidRDefault="002F1595" w:rsidP="002F1595">
      <w:pPr>
        <w:pStyle w:val="BodyA"/>
        <w:rPr>
          <w:rFonts w:ascii="Arial" w:hAnsi="Arial" w:cs="Arial"/>
        </w:rPr>
      </w:pPr>
    </w:p>
    <w:p w14:paraId="2D375BEF" w14:textId="010B81DE"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3181E34A" w14:textId="5EF95CDA" w:rsidR="0059137F" w:rsidRPr="006C135D" w:rsidRDefault="0059137F" w:rsidP="002F1595">
      <w:pPr>
        <w:pStyle w:val="BodyA"/>
        <w:rPr>
          <w:rFonts w:ascii="Arial" w:hAnsi="Arial" w:cs="Arial"/>
          <w:b/>
          <w:bCs/>
        </w:rPr>
      </w:pPr>
    </w:p>
    <w:p w14:paraId="393A75CB" w14:textId="24CAB195" w:rsidR="0059137F" w:rsidRPr="006C135D" w:rsidRDefault="0059137F" w:rsidP="002F1595">
      <w:pPr>
        <w:pStyle w:val="BodyA"/>
        <w:rPr>
          <w:rFonts w:ascii="Arial" w:hAnsi="Arial" w:cs="Arial"/>
        </w:rPr>
      </w:pPr>
      <w:r w:rsidRPr="006C135D">
        <w:rPr>
          <w:rFonts w:ascii="Arial" w:hAnsi="Arial" w:cs="Arial"/>
        </w:rPr>
        <w:t>We have no comment to make.</w:t>
      </w:r>
    </w:p>
    <w:p w14:paraId="3FCEBD43" w14:textId="77777777" w:rsidR="002F1595" w:rsidRPr="006C135D" w:rsidRDefault="002F1595" w:rsidP="002F1595">
      <w:pPr>
        <w:pStyle w:val="BodyA"/>
        <w:rPr>
          <w:rFonts w:ascii="Arial" w:hAnsi="Arial" w:cs="Arial"/>
        </w:rPr>
      </w:pPr>
    </w:p>
    <w:p w14:paraId="44124072" w14:textId="77777777" w:rsidR="0059137F" w:rsidRPr="006C135D" w:rsidRDefault="0059137F" w:rsidP="002F1595">
      <w:pPr>
        <w:pStyle w:val="BodyA"/>
        <w:rPr>
          <w:rFonts w:ascii="Arial" w:hAnsi="Arial" w:cs="Arial"/>
        </w:rPr>
      </w:pPr>
    </w:p>
    <w:p w14:paraId="793F7A38" w14:textId="0B3F254B" w:rsidR="002F1595" w:rsidRPr="006C135D" w:rsidRDefault="002F1595" w:rsidP="002F1595">
      <w:pPr>
        <w:pStyle w:val="BodyA"/>
        <w:rPr>
          <w:rFonts w:ascii="Arial" w:hAnsi="Arial" w:cs="Arial"/>
          <w:b/>
          <w:bCs/>
        </w:rPr>
      </w:pPr>
      <w:r w:rsidRPr="006C135D">
        <w:rPr>
          <w:rFonts w:ascii="Arial" w:hAnsi="Arial" w:cs="Arial"/>
          <w:b/>
          <w:bCs/>
          <w:color w:val="244061" w:themeColor="accent1" w:themeShade="80"/>
        </w:rPr>
        <w:t>21</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Interpretation</w:t>
      </w:r>
    </w:p>
    <w:p w14:paraId="1340B01B" w14:textId="77777777" w:rsidR="002F1595" w:rsidRPr="006C135D" w:rsidRDefault="002F1595" w:rsidP="002F1595">
      <w:pPr>
        <w:pStyle w:val="BodyA"/>
        <w:rPr>
          <w:rFonts w:ascii="Arial" w:hAnsi="Arial" w:cs="Arial"/>
        </w:rPr>
      </w:pPr>
    </w:p>
    <w:p w14:paraId="33B0B5BB"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1D388A12" w14:textId="77777777" w:rsidR="002F1595" w:rsidRPr="006C135D" w:rsidRDefault="002F1595" w:rsidP="002F1595">
      <w:pPr>
        <w:pStyle w:val="BodyA"/>
        <w:rPr>
          <w:rFonts w:ascii="Arial" w:hAnsi="Arial" w:cs="Arial"/>
          <w:b/>
          <w:bCs/>
        </w:rPr>
      </w:pPr>
    </w:p>
    <w:p w14:paraId="1D15A4CA" w14:textId="77777777" w:rsidR="002F1595" w:rsidRPr="006C135D" w:rsidRDefault="002F1595" w:rsidP="002F1595">
      <w:pPr>
        <w:pStyle w:val="BodyA"/>
        <w:rPr>
          <w:rFonts w:ascii="Arial" w:hAnsi="Arial" w:cs="Arial"/>
          <w:b/>
          <w:bCs/>
        </w:rPr>
      </w:pPr>
      <w:r w:rsidRPr="006C135D">
        <w:rPr>
          <w:rFonts w:ascii="Arial" w:hAnsi="Arial" w:cs="Arial"/>
        </w:rPr>
        <w:t>We have no comment to make.</w:t>
      </w:r>
    </w:p>
    <w:p w14:paraId="625FA176" w14:textId="77777777" w:rsidR="002F1595" w:rsidRPr="006C135D" w:rsidRDefault="002F1595" w:rsidP="002F1595">
      <w:pPr>
        <w:pStyle w:val="BodyA"/>
        <w:rPr>
          <w:rFonts w:ascii="Arial" w:hAnsi="Arial" w:cs="Arial"/>
          <w:color w:val="244061" w:themeColor="accent1" w:themeShade="80"/>
        </w:rPr>
      </w:pPr>
    </w:p>
    <w:p w14:paraId="09C22208" w14:textId="1086537D" w:rsidR="002F1595" w:rsidRPr="006C135D" w:rsidRDefault="002F1595" w:rsidP="002F1595">
      <w:pPr>
        <w:pStyle w:val="BodyA"/>
        <w:rPr>
          <w:rFonts w:ascii="Arial" w:hAnsi="Arial" w:cs="Arial"/>
          <w:b/>
          <w:bCs/>
          <w:u w:val="single"/>
        </w:rPr>
      </w:pPr>
      <w:r w:rsidRPr="006C135D">
        <w:rPr>
          <w:rFonts w:ascii="Arial" w:hAnsi="Arial" w:cs="Arial"/>
          <w:b/>
          <w:bCs/>
          <w:color w:val="244061" w:themeColor="accent1" w:themeShade="80"/>
        </w:rPr>
        <w:t>22</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Commencement, transitional and savings</w:t>
      </w:r>
      <w:r w:rsidRPr="006C135D">
        <w:rPr>
          <w:rFonts w:ascii="Arial" w:hAnsi="Arial" w:cs="Arial"/>
          <w:b/>
          <w:bCs/>
          <w:u w:val="single"/>
        </w:rPr>
        <w:t xml:space="preserve"> </w:t>
      </w:r>
    </w:p>
    <w:p w14:paraId="77A0518A" w14:textId="77777777" w:rsidR="002F1595" w:rsidRPr="006C135D" w:rsidRDefault="002F1595" w:rsidP="002F1595">
      <w:pPr>
        <w:pStyle w:val="BodyA"/>
        <w:rPr>
          <w:rFonts w:ascii="Arial" w:hAnsi="Arial" w:cs="Arial"/>
        </w:rPr>
      </w:pPr>
    </w:p>
    <w:p w14:paraId="5C6503A8"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2A4A2CDC" w14:textId="77777777" w:rsidR="002F1595" w:rsidRPr="006C135D" w:rsidRDefault="002F1595" w:rsidP="002F1595">
      <w:pPr>
        <w:pStyle w:val="BodyA"/>
        <w:rPr>
          <w:rFonts w:ascii="Arial" w:hAnsi="Arial" w:cs="Arial"/>
          <w:b/>
          <w:bCs/>
        </w:rPr>
      </w:pPr>
    </w:p>
    <w:p w14:paraId="7AA7ABD1" w14:textId="334F6EAC" w:rsidR="002F1595" w:rsidRPr="006C135D" w:rsidRDefault="002F1595" w:rsidP="002F1595">
      <w:pPr>
        <w:pStyle w:val="BodyA"/>
        <w:rPr>
          <w:rFonts w:ascii="Arial" w:eastAsia="Arial" w:hAnsi="Arial" w:cs="Arial"/>
        </w:rPr>
      </w:pPr>
      <w:r w:rsidRPr="006C135D">
        <w:rPr>
          <w:rFonts w:ascii="Arial" w:hAnsi="Arial" w:cs="Arial"/>
        </w:rPr>
        <w:t xml:space="preserve">We note that financial services </w:t>
      </w:r>
      <w:r w:rsidR="00B96388" w:rsidRPr="006C135D">
        <w:rPr>
          <w:rFonts w:ascii="Arial" w:hAnsi="Arial" w:cs="Arial"/>
        </w:rPr>
        <w:t>regulations</w:t>
      </w:r>
      <w:r w:rsidRPr="006C135D">
        <w:rPr>
          <w:rFonts w:ascii="Arial" w:hAnsi="Arial" w:cs="Arial"/>
        </w:rPr>
        <w:t xml:space="preserve"> are excepted from the impact of the bill. </w:t>
      </w:r>
    </w:p>
    <w:p w14:paraId="0D775E1A" w14:textId="77777777" w:rsidR="002F1595" w:rsidRPr="006C135D" w:rsidRDefault="002F1595" w:rsidP="002F1595">
      <w:pPr>
        <w:pStyle w:val="BodyA"/>
        <w:rPr>
          <w:rFonts w:ascii="Arial" w:eastAsia="Arial" w:hAnsi="Arial" w:cs="Arial"/>
        </w:rPr>
      </w:pPr>
    </w:p>
    <w:p w14:paraId="3761B196" w14:textId="0C3DA074" w:rsidR="002F1595" w:rsidRPr="006C135D" w:rsidRDefault="002F1595" w:rsidP="002F1595">
      <w:pPr>
        <w:pStyle w:val="BodyA"/>
        <w:rPr>
          <w:rFonts w:ascii="Arial" w:hAnsi="Arial" w:cs="Arial"/>
          <w:b/>
          <w:bCs/>
        </w:rPr>
      </w:pPr>
      <w:r w:rsidRPr="006C135D">
        <w:rPr>
          <w:rFonts w:ascii="Arial" w:hAnsi="Arial" w:cs="Arial"/>
          <w:b/>
          <w:bCs/>
          <w:color w:val="244061" w:themeColor="accent1" w:themeShade="80"/>
        </w:rPr>
        <w:t>23</w:t>
      </w:r>
      <w:r w:rsidR="0059137F" w:rsidRPr="006C135D">
        <w:rPr>
          <w:rFonts w:ascii="Arial" w:hAnsi="Arial" w:cs="Arial"/>
          <w:b/>
          <w:bCs/>
          <w:color w:val="244061" w:themeColor="accent1" w:themeShade="80"/>
        </w:rPr>
        <w:t>.</w:t>
      </w:r>
      <w:r w:rsidRPr="006C135D">
        <w:rPr>
          <w:rFonts w:ascii="Arial" w:hAnsi="Arial" w:cs="Arial"/>
          <w:b/>
          <w:bCs/>
          <w:color w:val="244061" w:themeColor="accent1" w:themeShade="80"/>
        </w:rPr>
        <w:t xml:space="preserve"> Extent and short title</w:t>
      </w:r>
    </w:p>
    <w:p w14:paraId="39E68C6D" w14:textId="77777777" w:rsidR="002F1595" w:rsidRPr="006C135D" w:rsidRDefault="002F1595" w:rsidP="002F1595">
      <w:pPr>
        <w:pStyle w:val="BodyA"/>
        <w:rPr>
          <w:rFonts w:ascii="Arial" w:hAnsi="Arial" w:cs="Arial"/>
          <w:b/>
          <w:bCs/>
        </w:rPr>
      </w:pPr>
    </w:p>
    <w:p w14:paraId="5CA60FA2" w14:textId="77777777" w:rsidR="002F1595" w:rsidRPr="006C135D" w:rsidRDefault="002F1595" w:rsidP="002F1595">
      <w:pPr>
        <w:pStyle w:val="BodyA"/>
        <w:rPr>
          <w:rFonts w:ascii="Arial" w:hAnsi="Arial" w:cs="Arial"/>
          <w:b/>
          <w:bCs/>
        </w:rPr>
      </w:pPr>
      <w:r w:rsidRPr="006C135D">
        <w:rPr>
          <w:rFonts w:ascii="Arial" w:hAnsi="Arial" w:cs="Arial"/>
          <w:b/>
          <w:bCs/>
        </w:rPr>
        <w:t xml:space="preserve">Our Comment </w:t>
      </w:r>
    </w:p>
    <w:p w14:paraId="69B2921D" w14:textId="77777777" w:rsidR="002F1595" w:rsidRPr="006C135D" w:rsidRDefault="002F1595" w:rsidP="002F1595">
      <w:pPr>
        <w:pStyle w:val="BodyA"/>
        <w:rPr>
          <w:rFonts w:ascii="Arial" w:hAnsi="Arial" w:cs="Arial"/>
        </w:rPr>
      </w:pPr>
    </w:p>
    <w:p w14:paraId="029C61B1" w14:textId="3E6ADCF0" w:rsidR="002F1595" w:rsidRDefault="002F1595" w:rsidP="002F1595">
      <w:pPr>
        <w:pStyle w:val="BodyA"/>
        <w:rPr>
          <w:rFonts w:ascii="Arial" w:hAnsi="Arial" w:cs="Arial"/>
        </w:rPr>
      </w:pPr>
      <w:r w:rsidRPr="006C135D">
        <w:rPr>
          <w:rFonts w:ascii="Arial" w:hAnsi="Arial" w:cs="Arial"/>
        </w:rPr>
        <w:t>We have no comment to make.</w:t>
      </w:r>
    </w:p>
    <w:p w14:paraId="24AAC9EB" w14:textId="77777777" w:rsidR="00FE4C59" w:rsidRDefault="00FE4C59" w:rsidP="002F1595">
      <w:pPr>
        <w:pStyle w:val="BodyA"/>
        <w:rPr>
          <w:rFonts w:ascii="Arial" w:hAnsi="Arial" w:cs="Arial"/>
        </w:rPr>
      </w:pPr>
    </w:p>
    <w:p w14:paraId="0A651C42" w14:textId="63F9CC11" w:rsidR="00FE4C59" w:rsidRDefault="00FE4C59" w:rsidP="002F1595">
      <w:pPr>
        <w:pStyle w:val="BodyA"/>
        <w:rPr>
          <w:rFonts w:ascii="Arial" w:hAnsi="Arial" w:cs="Arial"/>
        </w:rPr>
      </w:pPr>
    </w:p>
    <w:p w14:paraId="01169BF2" w14:textId="6EA8023D" w:rsidR="00FE4C59" w:rsidRPr="00FE4C59" w:rsidRDefault="00FE4C59" w:rsidP="002F1595">
      <w:pPr>
        <w:pStyle w:val="BodyA"/>
        <w:rPr>
          <w:rFonts w:ascii="Arial" w:hAnsi="Arial" w:cs="Arial"/>
          <w:b/>
          <w:bCs/>
          <w:color w:val="244061" w:themeColor="accent1" w:themeShade="80"/>
          <w:sz w:val="24"/>
          <w:szCs w:val="24"/>
        </w:rPr>
      </w:pPr>
      <w:r w:rsidRPr="00FE4C59">
        <w:rPr>
          <w:rFonts w:ascii="Arial" w:hAnsi="Arial" w:cs="Arial"/>
          <w:b/>
          <w:bCs/>
          <w:color w:val="244061" w:themeColor="accent1" w:themeShade="80"/>
          <w:sz w:val="24"/>
          <w:szCs w:val="24"/>
        </w:rPr>
        <w:t>Final Provisions</w:t>
      </w:r>
    </w:p>
    <w:p w14:paraId="445C8025" w14:textId="77777777" w:rsidR="002F1595" w:rsidRPr="006C135D" w:rsidRDefault="002F1595" w:rsidP="002F1595">
      <w:pPr>
        <w:pStyle w:val="BodyA"/>
        <w:rPr>
          <w:rFonts w:ascii="Arial" w:hAnsi="Arial" w:cs="Arial"/>
        </w:rPr>
      </w:pPr>
    </w:p>
    <w:p w14:paraId="2BACD1CE" w14:textId="77777777" w:rsidR="002F1595" w:rsidRPr="006C135D" w:rsidRDefault="002F1595" w:rsidP="002F1595">
      <w:pPr>
        <w:pStyle w:val="BodyA"/>
        <w:rPr>
          <w:rFonts w:ascii="Arial" w:hAnsi="Arial" w:cs="Arial"/>
        </w:rPr>
      </w:pPr>
      <w:r w:rsidRPr="006C135D">
        <w:rPr>
          <w:rFonts w:ascii="Arial" w:hAnsi="Arial" w:cs="Arial"/>
        </w:rPr>
        <w:t xml:space="preserve">Schedule 1 — Amendment of certain retained EU law </w:t>
      </w:r>
    </w:p>
    <w:p w14:paraId="1FF98575" w14:textId="77777777" w:rsidR="002F1595" w:rsidRPr="006C135D" w:rsidRDefault="002F1595" w:rsidP="002F1595">
      <w:pPr>
        <w:pStyle w:val="BodyA"/>
        <w:rPr>
          <w:rFonts w:ascii="Arial" w:hAnsi="Arial" w:cs="Arial"/>
        </w:rPr>
      </w:pPr>
    </w:p>
    <w:p w14:paraId="4281A721" w14:textId="77777777" w:rsidR="002F1595" w:rsidRPr="006C135D" w:rsidRDefault="002F1595" w:rsidP="002F1595">
      <w:pPr>
        <w:pStyle w:val="BodyA"/>
        <w:rPr>
          <w:rFonts w:ascii="Arial" w:hAnsi="Arial" w:cs="Arial"/>
        </w:rPr>
      </w:pPr>
      <w:r w:rsidRPr="006C135D">
        <w:rPr>
          <w:rFonts w:ascii="Arial" w:hAnsi="Arial" w:cs="Arial"/>
        </w:rPr>
        <w:t xml:space="preserve">Part 1 — Change of parliamentary procedure </w:t>
      </w:r>
    </w:p>
    <w:p w14:paraId="02F57DBA" w14:textId="77777777" w:rsidR="002F1595" w:rsidRPr="006C135D" w:rsidRDefault="002F1595" w:rsidP="002F1595">
      <w:pPr>
        <w:pStyle w:val="BodyA"/>
        <w:rPr>
          <w:rFonts w:ascii="Arial" w:hAnsi="Arial" w:cs="Arial"/>
        </w:rPr>
      </w:pPr>
    </w:p>
    <w:p w14:paraId="1EE4E8CB" w14:textId="77777777" w:rsidR="002F1595" w:rsidRPr="006C135D" w:rsidRDefault="002F1595" w:rsidP="002F1595">
      <w:pPr>
        <w:pStyle w:val="BodyA"/>
        <w:rPr>
          <w:rFonts w:ascii="Arial" w:hAnsi="Arial" w:cs="Arial"/>
        </w:rPr>
      </w:pPr>
      <w:r w:rsidRPr="006C135D">
        <w:rPr>
          <w:rFonts w:ascii="Arial" w:hAnsi="Arial" w:cs="Arial"/>
        </w:rPr>
        <w:t>Part 2 — Consequential amendments</w:t>
      </w:r>
    </w:p>
    <w:p w14:paraId="4EC36B45" w14:textId="77777777" w:rsidR="002F1595" w:rsidRPr="006C135D" w:rsidRDefault="002F1595" w:rsidP="002F1595">
      <w:pPr>
        <w:pStyle w:val="BodyA"/>
        <w:rPr>
          <w:rFonts w:ascii="Arial" w:hAnsi="Arial" w:cs="Arial"/>
        </w:rPr>
      </w:pPr>
    </w:p>
    <w:p w14:paraId="39F71766" w14:textId="77777777" w:rsidR="002F1595" w:rsidRPr="006C135D" w:rsidRDefault="002F1595" w:rsidP="002F1595">
      <w:pPr>
        <w:pStyle w:val="BodyA"/>
        <w:rPr>
          <w:rFonts w:ascii="Arial" w:hAnsi="Arial" w:cs="Arial"/>
        </w:rPr>
      </w:pPr>
    </w:p>
    <w:p w14:paraId="57497C05" w14:textId="65CF5090" w:rsidR="002F1595" w:rsidRDefault="002F1595" w:rsidP="002F1595">
      <w:pPr>
        <w:pStyle w:val="BodyA"/>
        <w:rPr>
          <w:rFonts w:ascii="Arial" w:hAnsi="Arial" w:cs="Arial"/>
        </w:rPr>
      </w:pPr>
      <w:r w:rsidRPr="006C135D">
        <w:rPr>
          <w:rFonts w:ascii="Arial" w:hAnsi="Arial" w:cs="Arial"/>
        </w:rPr>
        <w:lastRenderedPageBreak/>
        <w:t xml:space="preserve">Schedule 2 — Regulations: restrictions on powers of devolved authorities </w:t>
      </w:r>
    </w:p>
    <w:p w14:paraId="5D529C32" w14:textId="453F1BFB" w:rsidR="00F84A81" w:rsidRPr="00F84A81" w:rsidRDefault="00F84A81" w:rsidP="002F1595">
      <w:pPr>
        <w:pStyle w:val="BodyA"/>
        <w:rPr>
          <w:rFonts w:ascii="Arial" w:hAnsi="Arial" w:cs="Arial"/>
          <w:color w:val="000000" w:themeColor="text1"/>
        </w:rPr>
      </w:pPr>
    </w:p>
    <w:p w14:paraId="63C05881" w14:textId="098FC5AF" w:rsidR="00F84A81" w:rsidRPr="00F84A81" w:rsidRDefault="00F84A81" w:rsidP="00F84A81">
      <w:pPr>
        <w:pStyle w:val="BodyA"/>
        <w:rPr>
          <w:rFonts w:ascii="Arial" w:hAnsi="Arial" w:cs="Arial"/>
          <w:color w:val="000000" w:themeColor="text1"/>
        </w:rPr>
      </w:pPr>
      <w:r w:rsidRPr="00F84A81">
        <w:rPr>
          <w:rFonts w:ascii="Arial" w:hAnsi="Arial" w:cs="Arial"/>
          <w:color w:val="000000" w:themeColor="text1"/>
        </w:rPr>
        <w:t xml:space="preserve">With regard to Paragraph 4 it would be helpful if the Government could explain what are the regulations to which this provision applies, particularly having regard to paragraph 4(4)(b). </w:t>
      </w:r>
    </w:p>
    <w:p w14:paraId="212142A7" w14:textId="77777777" w:rsidR="00F84A81" w:rsidRPr="006C135D" w:rsidRDefault="00F84A81" w:rsidP="002F1595">
      <w:pPr>
        <w:pStyle w:val="BodyA"/>
        <w:rPr>
          <w:rFonts w:ascii="Arial" w:hAnsi="Arial" w:cs="Arial"/>
        </w:rPr>
      </w:pPr>
    </w:p>
    <w:p w14:paraId="3927AF19" w14:textId="77777777" w:rsidR="002F1595" w:rsidRPr="006C135D" w:rsidRDefault="002F1595" w:rsidP="002F1595">
      <w:pPr>
        <w:pStyle w:val="BodyA"/>
        <w:rPr>
          <w:rFonts w:ascii="Arial" w:hAnsi="Arial" w:cs="Arial"/>
        </w:rPr>
      </w:pPr>
    </w:p>
    <w:p w14:paraId="42751F69" w14:textId="77777777" w:rsidR="002F1595" w:rsidRPr="006C135D" w:rsidRDefault="002F1595" w:rsidP="002F1595">
      <w:pPr>
        <w:pStyle w:val="BodyA"/>
        <w:rPr>
          <w:rFonts w:ascii="Arial" w:hAnsi="Arial" w:cs="Arial"/>
        </w:rPr>
      </w:pPr>
    </w:p>
    <w:p w14:paraId="2242C401" w14:textId="77777777" w:rsidR="002F1595" w:rsidRPr="006C135D" w:rsidRDefault="002F1595" w:rsidP="002F1595">
      <w:pPr>
        <w:pStyle w:val="BodyA"/>
        <w:rPr>
          <w:rFonts w:ascii="Arial" w:hAnsi="Arial" w:cs="Arial"/>
        </w:rPr>
      </w:pPr>
      <w:r w:rsidRPr="006C135D">
        <w:rPr>
          <w:rFonts w:ascii="Arial" w:hAnsi="Arial" w:cs="Arial"/>
        </w:rPr>
        <w:t>Schedule 3 — Regulations: procedure</w:t>
      </w:r>
    </w:p>
    <w:p w14:paraId="7666316D" w14:textId="77777777" w:rsidR="002F1595" w:rsidRPr="006C135D" w:rsidRDefault="002F1595" w:rsidP="002F1595">
      <w:pPr>
        <w:pStyle w:val="BodyA"/>
        <w:rPr>
          <w:rFonts w:ascii="Arial" w:hAnsi="Arial" w:cs="Arial"/>
        </w:rPr>
      </w:pPr>
    </w:p>
    <w:p w14:paraId="49832559" w14:textId="3F542B57" w:rsidR="002F1595" w:rsidRDefault="002F1595" w:rsidP="002F1595">
      <w:pPr>
        <w:pStyle w:val="BodyA"/>
        <w:rPr>
          <w:rFonts w:ascii="Arial" w:hAnsi="Arial" w:cs="Arial"/>
        </w:rPr>
      </w:pPr>
      <w:r w:rsidRPr="006C135D">
        <w:rPr>
          <w:rFonts w:ascii="Arial" w:hAnsi="Arial" w:cs="Arial"/>
        </w:rPr>
        <w:t>Part 1 — General</w:t>
      </w:r>
    </w:p>
    <w:p w14:paraId="1B0F788E" w14:textId="3B90B228" w:rsidR="00F84A81" w:rsidRDefault="00F84A81" w:rsidP="002F1595">
      <w:pPr>
        <w:pStyle w:val="BodyA"/>
        <w:rPr>
          <w:rFonts w:ascii="Arial" w:hAnsi="Arial" w:cs="Arial"/>
        </w:rPr>
      </w:pPr>
    </w:p>
    <w:p w14:paraId="24007D10" w14:textId="0808979A" w:rsidR="00F84A81" w:rsidRPr="00F84A81" w:rsidRDefault="00F84A81" w:rsidP="00F84A81">
      <w:pPr>
        <w:pStyle w:val="BodyA"/>
        <w:rPr>
          <w:rFonts w:ascii="Arial" w:hAnsi="Arial" w:cs="Arial"/>
          <w:color w:val="000000" w:themeColor="text1"/>
        </w:rPr>
      </w:pPr>
      <w:r w:rsidRPr="00F84A81">
        <w:rPr>
          <w:rFonts w:ascii="Arial" w:hAnsi="Arial" w:cs="Arial"/>
          <w:color w:val="000000" w:themeColor="text1"/>
        </w:rPr>
        <w:t>What is Paragraph 1(2) intended to achieve? Section 27 of the</w:t>
      </w:r>
      <w:r>
        <w:rPr>
          <w:rFonts w:ascii="Arial" w:hAnsi="Arial" w:cs="Arial"/>
          <w:color w:val="000000" w:themeColor="text1"/>
        </w:rPr>
        <w:t xml:space="preserve"> Interpretation and Legislative Reform (Scotland) Act 2010 </w:t>
      </w:r>
      <w:r w:rsidRPr="00F84A81">
        <w:rPr>
          <w:rFonts w:ascii="Arial" w:hAnsi="Arial" w:cs="Arial"/>
          <w:color w:val="000000" w:themeColor="text1"/>
        </w:rPr>
        <w:t>defines that is meant by a “Scottish statutory instrument” but where are the provisions which provide that Scottish Ministers may make a Scottish statutory instrument? Is it intended that regulations made by Scottish Ministers should be made by SSI as defined in section 27? If so</w:t>
      </w:r>
      <w:r>
        <w:rPr>
          <w:rFonts w:ascii="Arial" w:hAnsi="Arial" w:cs="Arial"/>
          <w:color w:val="000000" w:themeColor="text1"/>
        </w:rPr>
        <w:t>, that should be stated on the face of the bill.</w:t>
      </w:r>
    </w:p>
    <w:p w14:paraId="41CA9F10" w14:textId="77777777" w:rsidR="00F84A81" w:rsidRPr="00F84A81" w:rsidRDefault="00F84A81" w:rsidP="00F84A81">
      <w:pPr>
        <w:pStyle w:val="BodyA"/>
        <w:rPr>
          <w:rFonts w:ascii="Arial" w:hAnsi="Arial" w:cs="Arial"/>
          <w:color w:val="000000" w:themeColor="text1"/>
        </w:rPr>
      </w:pPr>
    </w:p>
    <w:p w14:paraId="1544F0E5" w14:textId="509B1316" w:rsidR="00F84A81" w:rsidRPr="00F84A81" w:rsidRDefault="00F84A81" w:rsidP="00F84A81">
      <w:pPr>
        <w:pStyle w:val="BodyA"/>
        <w:rPr>
          <w:rFonts w:ascii="Arial" w:hAnsi="Arial" w:cs="Arial"/>
          <w:color w:val="000000" w:themeColor="text1"/>
        </w:rPr>
      </w:pPr>
      <w:r w:rsidRPr="00F84A81">
        <w:rPr>
          <w:rFonts w:ascii="Arial" w:hAnsi="Arial" w:cs="Arial"/>
          <w:color w:val="000000" w:themeColor="text1"/>
        </w:rPr>
        <w:t>Is Paragraph 2</w:t>
      </w:r>
      <w:r>
        <w:rPr>
          <w:rFonts w:ascii="Arial" w:hAnsi="Arial" w:cs="Arial"/>
          <w:color w:val="000000" w:themeColor="text1"/>
        </w:rPr>
        <w:t xml:space="preserve"> </w:t>
      </w:r>
      <w:r w:rsidRPr="00F84A81">
        <w:rPr>
          <w:rFonts w:ascii="Arial" w:hAnsi="Arial" w:cs="Arial"/>
          <w:color w:val="000000" w:themeColor="text1"/>
        </w:rPr>
        <w:t>intended to apply to Scotland?</w:t>
      </w:r>
    </w:p>
    <w:p w14:paraId="473C9FD2" w14:textId="77777777" w:rsidR="002F1595" w:rsidRPr="006C135D" w:rsidRDefault="002F1595" w:rsidP="002F1595">
      <w:pPr>
        <w:pStyle w:val="BodyA"/>
        <w:rPr>
          <w:rFonts w:ascii="Arial" w:hAnsi="Arial" w:cs="Arial"/>
        </w:rPr>
      </w:pPr>
    </w:p>
    <w:p w14:paraId="7BCC28FB" w14:textId="77777777" w:rsidR="002F1595" w:rsidRPr="006C135D" w:rsidRDefault="002F1595" w:rsidP="002F1595">
      <w:pPr>
        <w:pStyle w:val="BodyA"/>
        <w:rPr>
          <w:rFonts w:ascii="Arial" w:hAnsi="Arial" w:cs="Arial"/>
        </w:rPr>
      </w:pPr>
      <w:r w:rsidRPr="006C135D">
        <w:rPr>
          <w:rFonts w:ascii="Arial" w:hAnsi="Arial" w:cs="Arial"/>
        </w:rPr>
        <w:t>Part 2 — Powers of Minister of the Crown alone</w:t>
      </w:r>
    </w:p>
    <w:p w14:paraId="624D2263" w14:textId="77777777" w:rsidR="002F1595" w:rsidRPr="006C135D" w:rsidRDefault="002F1595" w:rsidP="002F1595">
      <w:pPr>
        <w:pStyle w:val="BodyA"/>
        <w:rPr>
          <w:rFonts w:ascii="Arial" w:hAnsi="Arial" w:cs="Arial"/>
        </w:rPr>
      </w:pPr>
    </w:p>
    <w:p w14:paraId="442D1DE2" w14:textId="77777777" w:rsidR="002F1595" w:rsidRPr="006C135D" w:rsidRDefault="002F1595" w:rsidP="002F1595">
      <w:pPr>
        <w:pStyle w:val="BodyA"/>
        <w:rPr>
          <w:rFonts w:ascii="Arial" w:hAnsi="Arial" w:cs="Arial"/>
        </w:rPr>
      </w:pPr>
      <w:r w:rsidRPr="006C135D">
        <w:rPr>
          <w:rFonts w:ascii="Arial" w:hAnsi="Arial" w:cs="Arial"/>
        </w:rPr>
        <w:t xml:space="preserve">Part 3 — Powers of relevant national authority: separate exercise </w:t>
      </w:r>
    </w:p>
    <w:p w14:paraId="11E052DA" w14:textId="77777777" w:rsidR="002F1595" w:rsidRPr="006C135D" w:rsidRDefault="002F1595" w:rsidP="002F1595">
      <w:pPr>
        <w:pStyle w:val="BodyA"/>
        <w:rPr>
          <w:rFonts w:ascii="Arial" w:hAnsi="Arial" w:cs="Arial"/>
        </w:rPr>
      </w:pPr>
    </w:p>
    <w:p w14:paraId="65D73050" w14:textId="77777777" w:rsidR="002F1595" w:rsidRPr="006C135D" w:rsidRDefault="002F1595" w:rsidP="002F1595">
      <w:pPr>
        <w:pStyle w:val="BodyA"/>
        <w:rPr>
          <w:rFonts w:ascii="Arial" w:hAnsi="Arial" w:cs="Arial"/>
        </w:rPr>
      </w:pPr>
      <w:r w:rsidRPr="006C135D">
        <w:rPr>
          <w:rFonts w:ascii="Arial" w:hAnsi="Arial" w:cs="Arial"/>
        </w:rPr>
        <w:t>Part 4 — Powers of relevant national authority: joint exercise</w:t>
      </w:r>
    </w:p>
    <w:p w14:paraId="1B5E08E0" w14:textId="77777777" w:rsidR="00163D47" w:rsidRDefault="00163D47" w:rsidP="003624FD"/>
    <w:p w14:paraId="36C90014" w14:textId="1E401478" w:rsidR="00163D47" w:rsidRPr="00BA7B65" w:rsidRDefault="00163D47" w:rsidP="003624FD">
      <w:pPr>
        <w:sectPr w:rsidR="00163D47" w:rsidRPr="00BA7B65" w:rsidSect="00ED6246">
          <w:pgSz w:w="11900" w:h="16840"/>
          <w:pgMar w:top="2268" w:right="737" w:bottom="284" w:left="737" w:header="709" w:footer="284" w:gutter="0"/>
          <w:cols w:space="708"/>
          <w:docGrid w:linePitch="360"/>
        </w:sectPr>
      </w:pPr>
    </w:p>
    <w:p w14:paraId="5814E35E" w14:textId="77777777" w:rsidR="003624FD" w:rsidRPr="00BA7B65" w:rsidRDefault="003624FD" w:rsidP="003624FD"/>
    <w:sectPr w:rsidR="003624FD" w:rsidRPr="00BA7B65" w:rsidSect="00E41367">
      <w:footerReference w:type="default" r:id="rId18"/>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534E" w14:textId="77777777" w:rsidR="00C17328" w:rsidRDefault="00C17328" w:rsidP="004A1254">
      <w:r>
        <w:separator/>
      </w:r>
    </w:p>
    <w:p w14:paraId="2DF8B9DE" w14:textId="77777777" w:rsidR="00C17328" w:rsidRDefault="00C17328" w:rsidP="004A1254"/>
  </w:endnote>
  <w:endnote w:type="continuationSeparator" w:id="0">
    <w:p w14:paraId="1260DD87" w14:textId="77777777" w:rsidR="00C17328" w:rsidRDefault="00C17328" w:rsidP="004A1254">
      <w:r>
        <w:continuationSeparator/>
      </w:r>
    </w:p>
    <w:p w14:paraId="291F3100" w14:textId="77777777" w:rsidR="00C17328" w:rsidRDefault="00C17328" w:rsidP="004A1254"/>
  </w:endnote>
  <w:endnote w:type="continuationNotice" w:id="1">
    <w:p w14:paraId="36A158D0" w14:textId="77777777" w:rsidR="00C17328" w:rsidRDefault="00C17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FBB6" w14:textId="77777777"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76D87"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2FA0" w14:textId="77777777"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0E0D58">
      <w:rPr>
        <w:rStyle w:val="PageNumber"/>
        <w:noProof/>
        <w:sz w:val="18"/>
        <w:szCs w:val="18"/>
      </w:rPr>
      <w:t>2</w:t>
    </w:r>
    <w:r w:rsidRPr="00852EDF">
      <w:rPr>
        <w:rStyle w:val="PageNumber"/>
        <w:sz w:val="18"/>
        <w:szCs w:val="18"/>
      </w:rPr>
      <w:fldChar w:fldCharType="end"/>
    </w:r>
  </w:p>
  <w:p w14:paraId="2530011E" w14:textId="77777777" w:rsidR="00C770E4" w:rsidRDefault="00C770E4"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DB21" w14:textId="77777777" w:rsidR="00C770E4" w:rsidRDefault="00C770E4" w:rsidP="003624FD">
    <w:pPr>
      <w:spacing w:after="0"/>
      <w:jc w:val="right"/>
      <w:rPr>
        <w:b/>
        <w:color w:val="002C5C"/>
      </w:rPr>
    </w:pPr>
    <w:r w:rsidRPr="003624FD">
      <w:rPr>
        <w:b/>
        <w:color w:val="002C5C"/>
      </w:rPr>
      <w:t>For further information, please contact:</w:t>
    </w:r>
  </w:p>
  <w:p w14:paraId="5E9D6205" w14:textId="40F8F7F7" w:rsidR="00C770E4" w:rsidRDefault="006C135D" w:rsidP="003624FD">
    <w:pPr>
      <w:spacing w:after="0"/>
      <w:jc w:val="right"/>
    </w:pPr>
    <w:r>
      <w:t>Michael P Clancy</w:t>
    </w:r>
  </w:p>
  <w:p w14:paraId="56C63C45" w14:textId="62234722" w:rsidR="00C770E4" w:rsidRDefault="006C135D" w:rsidP="003624FD">
    <w:pPr>
      <w:spacing w:after="0"/>
      <w:jc w:val="right"/>
    </w:pPr>
    <w:r>
      <w:t>Director, Law Reform</w:t>
    </w:r>
  </w:p>
  <w:p w14:paraId="0E0316D6" w14:textId="77777777" w:rsidR="00C770E4" w:rsidRDefault="00C770E4" w:rsidP="003624FD">
    <w:pPr>
      <w:spacing w:after="0"/>
      <w:jc w:val="right"/>
    </w:pPr>
    <w:r>
      <w:t>Law Society of Scotland</w:t>
    </w:r>
  </w:p>
  <w:p w14:paraId="278FB535" w14:textId="487F3E31" w:rsidR="00C770E4" w:rsidRDefault="00C770E4" w:rsidP="003624FD">
    <w:pPr>
      <w:spacing w:after="0"/>
      <w:jc w:val="right"/>
    </w:pPr>
    <w:r>
      <w:t>DD: 0</w:t>
    </w:r>
    <w:r w:rsidR="006C135D">
      <w:t>7785 57833</w:t>
    </w:r>
  </w:p>
  <w:p w14:paraId="4F278533" w14:textId="0B8480F5" w:rsidR="00C770E4" w:rsidRPr="00051C3E" w:rsidRDefault="006C135D" w:rsidP="003624FD">
    <w:pPr>
      <w:spacing w:after="0"/>
      <w:jc w:val="right"/>
      <w:rPr>
        <w:u w:val="single"/>
      </w:rPr>
    </w:pPr>
    <w:r w:rsidRPr="00051C3E">
      <w:rPr>
        <w:u w:val="single"/>
      </w:rPr>
      <w:t>michaelclancy</w:t>
    </w:r>
    <w:r w:rsidR="00C770E4" w:rsidRPr="00051C3E">
      <w:rPr>
        <w:u w:val="single"/>
      </w:rPr>
      <w:t>@lawscot.org.uk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57AC" w14:textId="77777777" w:rsidR="00C17328" w:rsidRPr="00ED6246" w:rsidRDefault="00C17328" w:rsidP="00ED6246">
      <w:pPr>
        <w:pStyle w:val="Footer"/>
      </w:pPr>
    </w:p>
  </w:footnote>
  <w:footnote w:type="continuationSeparator" w:id="0">
    <w:p w14:paraId="3B7B5FE6" w14:textId="77777777" w:rsidR="00C17328" w:rsidRDefault="00C17328" w:rsidP="004A1254">
      <w:r>
        <w:continuationSeparator/>
      </w:r>
    </w:p>
  </w:footnote>
  <w:footnote w:type="continuationNotice" w:id="1">
    <w:p w14:paraId="2BDCF228" w14:textId="77777777" w:rsidR="00C17328" w:rsidRPr="00ED6246" w:rsidRDefault="00C17328" w:rsidP="00ED62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AB41" w14:textId="77777777" w:rsidR="00C770E4" w:rsidRDefault="00C770E4" w:rsidP="004A1254">
    <w:pPr>
      <w:pStyle w:val="Header"/>
    </w:pPr>
    <w:r>
      <w:rPr>
        <w:noProof/>
        <w:lang w:eastAsia="en-GB"/>
      </w:rPr>
      <w:drawing>
        <wp:anchor distT="0" distB="0" distL="114300" distR="114300" simplePos="0" relativeHeight="251658241" behindDoc="1" locked="0" layoutInCell="1" allowOverlap="1" wp14:anchorId="2FC0E56A" wp14:editId="162DF059">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9BA6" w14:textId="77777777" w:rsidR="00C770E4" w:rsidRPr="0025503C" w:rsidRDefault="00C770E4" w:rsidP="004A1254">
    <w:pPr>
      <w:pStyle w:val="Header"/>
    </w:pPr>
    <w:r>
      <w:rPr>
        <w:noProof/>
        <w:lang w:eastAsia="en-GB"/>
      </w:rPr>
      <w:drawing>
        <wp:anchor distT="0" distB="0" distL="114300" distR="114300" simplePos="0" relativeHeight="251658240" behindDoc="1" locked="0" layoutInCell="1" allowOverlap="1" wp14:anchorId="7B6A3BD4" wp14:editId="35862861">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50D8D"/>
    <w:multiLevelType w:val="hybridMultilevel"/>
    <w:tmpl w:val="03BC7D90"/>
    <w:lvl w:ilvl="0" w:tplc="BE14B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77317"/>
    <w:multiLevelType w:val="hybridMultilevel"/>
    <w:tmpl w:val="09160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A32258"/>
    <w:multiLevelType w:val="hybridMultilevel"/>
    <w:tmpl w:val="89B0AC28"/>
    <w:lvl w:ilvl="0" w:tplc="BE14B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2130816">
    <w:abstractNumId w:val="12"/>
  </w:num>
  <w:num w:numId="2" w16cid:durableId="1179084393">
    <w:abstractNumId w:val="10"/>
  </w:num>
  <w:num w:numId="3" w16cid:durableId="2060283217">
    <w:abstractNumId w:val="8"/>
  </w:num>
  <w:num w:numId="4" w16cid:durableId="1233926041">
    <w:abstractNumId w:val="7"/>
  </w:num>
  <w:num w:numId="5" w16cid:durableId="741753640">
    <w:abstractNumId w:val="6"/>
  </w:num>
  <w:num w:numId="6" w16cid:durableId="659892015">
    <w:abstractNumId w:val="5"/>
  </w:num>
  <w:num w:numId="7" w16cid:durableId="1456944120">
    <w:abstractNumId w:val="11"/>
  </w:num>
  <w:num w:numId="8" w16cid:durableId="1405451017">
    <w:abstractNumId w:val="9"/>
  </w:num>
  <w:num w:numId="9" w16cid:durableId="626856092">
    <w:abstractNumId w:val="4"/>
  </w:num>
  <w:num w:numId="10" w16cid:durableId="1734884579">
    <w:abstractNumId w:val="3"/>
  </w:num>
  <w:num w:numId="11" w16cid:durableId="782457373">
    <w:abstractNumId w:val="2"/>
  </w:num>
  <w:num w:numId="12" w16cid:durableId="69236760">
    <w:abstractNumId w:val="1"/>
  </w:num>
  <w:num w:numId="13" w16cid:durableId="746001812">
    <w:abstractNumId w:val="0"/>
  </w:num>
  <w:num w:numId="14" w16cid:durableId="1093282139">
    <w:abstractNumId w:val="14"/>
  </w:num>
  <w:num w:numId="15" w16cid:durableId="677535853">
    <w:abstractNumId w:val="13"/>
  </w:num>
  <w:num w:numId="16" w16cid:durableId="1804276752">
    <w:abstractNumId w:val="19"/>
  </w:num>
  <w:num w:numId="17" w16cid:durableId="1169099285">
    <w:abstractNumId w:val="17"/>
  </w:num>
  <w:num w:numId="18" w16cid:durableId="1642423802">
    <w:abstractNumId w:val="16"/>
  </w:num>
  <w:num w:numId="19" w16cid:durableId="2127654731">
    <w:abstractNumId w:val="15"/>
  </w:num>
  <w:num w:numId="20" w16cid:durableId="3207354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466A5"/>
    <w:rsid w:val="00050ABE"/>
    <w:rsid w:val="00051C3E"/>
    <w:rsid w:val="00057EEF"/>
    <w:rsid w:val="00095D94"/>
    <w:rsid w:val="000E0D58"/>
    <w:rsid w:val="0010267B"/>
    <w:rsid w:val="001278E3"/>
    <w:rsid w:val="00145D2D"/>
    <w:rsid w:val="00147104"/>
    <w:rsid w:val="00150A2C"/>
    <w:rsid w:val="00163D47"/>
    <w:rsid w:val="00184E6B"/>
    <w:rsid w:val="00194FFC"/>
    <w:rsid w:val="001B0D84"/>
    <w:rsid w:val="00222D2E"/>
    <w:rsid w:val="00225C1A"/>
    <w:rsid w:val="0025503C"/>
    <w:rsid w:val="002A4E56"/>
    <w:rsid w:val="002B6F0B"/>
    <w:rsid w:val="002F1595"/>
    <w:rsid w:val="002F4EAF"/>
    <w:rsid w:val="00301BA8"/>
    <w:rsid w:val="00317A09"/>
    <w:rsid w:val="003624FD"/>
    <w:rsid w:val="0039665F"/>
    <w:rsid w:val="003D7316"/>
    <w:rsid w:val="00434FB8"/>
    <w:rsid w:val="004A1254"/>
    <w:rsid w:val="00504A98"/>
    <w:rsid w:val="0059137F"/>
    <w:rsid w:val="005C5641"/>
    <w:rsid w:val="005D08D2"/>
    <w:rsid w:val="005D3D49"/>
    <w:rsid w:val="00603ECE"/>
    <w:rsid w:val="0060435D"/>
    <w:rsid w:val="00607112"/>
    <w:rsid w:val="00613D8A"/>
    <w:rsid w:val="006258E7"/>
    <w:rsid w:val="006500CC"/>
    <w:rsid w:val="006C135D"/>
    <w:rsid w:val="006E5851"/>
    <w:rsid w:val="00707885"/>
    <w:rsid w:val="00725894"/>
    <w:rsid w:val="00735365"/>
    <w:rsid w:val="0077487D"/>
    <w:rsid w:val="007B1470"/>
    <w:rsid w:val="007D38F5"/>
    <w:rsid w:val="007E29A6"/>
    <w:rsid w:val="007E66FC"/>
    <w:rsid w:val="00800829"/>
    <w:rsid w:val="00825AAA"/>
    <w:rsid w:val="00827419"/>
    <w:rsid w:val="008476D1"/>
    <w:rsid w:val="00852EDF"/>
    <w:rsid w:val="008537E5"/>
    <w:rsid w:val="008709A2"/>
    <w:rsid w:val="00872C0D"/>
    <w:rsid w:val="008B5AF9"/>
    <w:rsid w:val="008E61EA"/>
    <w:rsid w:val="008F6A42"/>
    <w:rsid w:val="00985F85"/>
    <w:rsid w:val="009A571D"/>
    <w:rsid w:val="00A13AD6"/>
    <w:rsid w:val="00A97334"/>
    <w:rsid w:val="00AB5BE9"/>
    <w:rsid w:val="00B276E3"/>
    <w:rsid w:val="00B43A77"/>
    <w:rsid w:val="00B96388"/>
    <w:rsid w:val="00BA13EB"/>
    <w:rsid w:val="00BA577E"/>
    <w:rsid w:val="00BA7B65"/>
    <w:rsid w:val="00C17328"/>
    <w:rsid w:val="00C44C5D"/>
    <w:rsid w:val="00C770E4"/>
    <w:rsid w:val="00C97201"/>
    <w:rsid w:val="00CD5671"/>
    <w:rsid w:val="00CE36DA"/>
    <w:rsid w:val="00CE5BC9"/>
    <w:rsid w:val="00CF54C8"/>
    <w:rsid w:val="00D36988"/>
    <w:rsid w:val="00D660AF"/>
    <w:rsid w:val="00DE1060"/>
    <w:rsid w:val="00DF3401"/>
    <w:rsid w:val="00E12DB3"/>
    <w:rsid w:val="00E41367"/>
    <w:rsid w:val="00E93211"/>
    <w:rsid w:val="00EA67CC"/>
    <w:rsid w:val="00ED33F6"/>
    <w:rsid w:val="00ED6246"/>
    <w:rsid w:val="00F03C36"/>
    <w:rsid w:val="00F4154F"/>
    <w:rsid w:val="00F436D6"/>
    <w:rsid w:val="00F84A81"/>
    <w:rsid w:val="00FD7E61"/>
    <w:rsid w:val="00FE489F"/>
    <w:rsid w:val="00FE4C59"/>
    <w:rsid w:val="00FF6B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89D8E0"/>
  <w14:defaultImageDpi w14:val="300"/>
  <w15:docId w15:val="{75DDEB5E-4399-40E8-841D-75787E2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table" w:styleId="TableGrid">
    <w:name w:val="Table Grid"/>
    <w:basedOn w:val="TableNormal"/>
    <w:uiPriority w:val="59"/>
    <w:rsid w:val="00C4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15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A">
    <w:name w:val="Body A"/>
    <w:rsid w:val="002F1595"/>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legclearfix">
    <w:name w:val="legclearfix"/>
    <w:basedOn w:val="Normal"/>
    <w:rsid w:val="002F15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2F1595"/>
  </w:style>
  <w:style w:type="character" w:styleId="CommentReference">
    <w:name w:val="annotation reference"/>
    <w:basedOn w:val="DefaultParagraphFont"/>
    <w:uiPriority w:val="99"/>
    <w:semiHidden/>
    <w:unhideWhenUsed/>
    <w:rsid w:val="00184E6B"/>
    <w:rPr>
      <w:sz w:val="16"/>
      <w:szCs w:val="16"/>
    </w:rPr>
  </w:style>
  <w:style w:type="paragraph" w:styleId="CommentText">
    <w:name w:val="annotation text"/>
    <w:basedOn w:val="Normal"/>
    <w:link w:val="CommentTextChar"/>
    <w:uiPriority w:val="99"/>
    <w:unhideWhenUsed/>
    <w:rsid w:val="00184E6B"/>
    <w:pPr>
      <w:spacing w:line="240" w:lineRule="auto"/>
    </w:pPr>
    <w:rPr>
      <w:sz w:val="20"/>
      <w:szCs w:val="20"/>
    </w:rPr>
  </w:style>
  <w:style w:type="character" w:customStyle="1" w:styleId="CommentTextChar">
    <w:name w:val="Comment Text Char"/>
    <w:basedOn w:val="DefaultParagraphFont"/>
    <w:link w:val="CommentText"/>
    <w:uiPriority w:val="99"/>
    <w:rsid w:val="00184E6B"/>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84E6B"/>
    <w:rPr>
      <w:b/>
      <w:bCs/>
    </w:rPr>
  </w:style>
  <w:style w:type="character" w:customStyle="1" w:styleId="CommentSubjectChar">
    <w:name w:val="Comment Subject Char"/>
    <w:basedOn w:val="CommentTextChar"/>
    <w:link w:val="CommentSubject"/>
    <w:uiPriority w:val="99"/>
    <w:semiHidden/>
    <w:rsid w:val="00184E6B"/>
    <w:rPr>
      <w:rFonts w:ascii="Arial" w:hAnsi="Arial" w:cs="Arial"/>
      <w:b/>
      <w:bCs/>
      <w:color w:val="auto"/>
      <w:sz w:val="20"/>
      <w:szCs w:val="20"/>
    </w:rPr>
  </w:style>
  <w:style w:type="character" w:styleId="Hyperlink">
    <w:name w:val="Hyperlink"/>
    <w:basedOn w:val="DefaultParagraphFont"/>
    <w:uiPriority w:val="99"/>
    <w:semiHidden/>
    <w:unhideWhenUsed/>
    <w:rsid w:val="00D36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11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ublications.parliament.uk/pa/cm5803/cmselect/cmeuleg/122/report.html" TargetMode="External"/><Relationship Id="rId2" Type="http://schemas.openxmlformats.org/officeDocument/2006/relationships/customXml" Target="../customXml/item2.xml"/><Relationship Id="rId16" Type="http://schemas.openxmlformats.org/officeDocument/2006/relationships/hyperlink" Target="https://public.tableau.com/app/profile/governmentreporting/viz/UKGovernment-RetainedEULawDashboard/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_dlc_DocId xmlns="3595a3b4-95e1-40b3-9976-0da52ff3c1d6">73WM5REP3J34-721772324-2075</_dlc_DocId>
    <TaxCatchAll xmlns="3595a3b4-95e1-40b3-9976-0da52ff3c1d6"/>
    <_dlc_DocIdUrl xmlns="3595a3b4-95e1-40b3-9976-0da52ff3c1d6">
      <Url>http://thehub/teams/externalrelations/policy/_layouts/15/DocIdRedir.aspx?ID=73WM5REP3J34-721772324-2075</Url>
      <Description>73WM5REP3J34-721772324-2075</Description>
    </_dlc_DocIdUrl>
    <j51334b8464a403e8708c44b550590d2 xmlns="c580686b-3c78-40fc-8280-257271cf61a5">
      <Terms xmlns="http://schemas.microsoft.com/office/infopath/2007/PartnerControls"/>
    </j51334b8464a403e8708c44b550590d2>
    <DocumentType xmlns="3595a3b4-95e1-40b3-9976-0da52ff3c1d6">N/A</DocumentType>
    <BWMembersRecord xmlns="3595a3b4-95e1-40b3-9976-0da52ff3c1d6">No</BWMembersRecord>
    <BWPersonalInfo xmlns="3595a3b4-95e1-40b3-9976-0da52ff3c1d6">No</BWPersonalInf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7C6FBD364AC9074A93F22848C695C93B" ma:contentTypeVersion="21" ma:contentTypeDescription="Create a new document." ma:contentTypeScope="" ma:versionID="f13f3e06d969d1cd9c3f72252f300978">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13F7E-9916-40E0-A79D-228CBAA6265C}">
  <ds:schemaRefs>
    <ds:schemaRef ds:uri="http://www.w3.org/XML/1998/namespace"/>
    <ds:schemaRef ds:uri="http://schemas.openxmlformats.org/package/2006/metadata/core-properties"/>
    <ds:schemaRef ds:uri="http://purl.org/dc/dcmitype/"/>
    <ds:schemaRef ds:uri="c580686b-3c78-40fc-8280-257271cf61a5"/>
    <ds:schemaRef ds:uri="http://purl.org/dc/terms/"/>
    <ds:schemaRef ds:uri="http://schemas.microsoft.com/office/2006/documentManagement/types"/>
    <ds:schemaRef ds:uri="3595a3b4-95e1-40b3-9976-0da52ff3c1d6"/>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C063669-5504-478C-BFB8-54A4F12C1036}">
  <ds:schemaRefs>
    <ds:schemaRef ds:uri="http://schemas.openxmlformats.org/officeDocument/2006/bibliography"/>
  </ds:schemaRefs>
</ds:datastoreItem>
</file>

<file path=customXml/itemProps3.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4.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5.xml><?xml version="1.0" encoding="utf-8"?>
<ds:datastoreItem xmlns:ds="http://schemas.openxmlformats.org/officeDocument/2006/customXml" ds:itemID="{244718E5-A914-4B90-8340-E9C01B2F2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3443</Words>
  <Characters>19627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Gaynor Maclellan</dc:creator>
  <cp:lastModifiedBy>Valerie McEwan</cp:lastModifiedBy>
  <cp:revision>2</cp:revision>
  <dcterms:created xsi:type="dcterms:W3CDTF">2022-10-21T13:06:00Z</dcterms:created>
  <dcterms:modified xsi:type="dcterms:W3CDTF">2022-10-21T13:06:00Z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
  </property>
  <property fmtid="{D5CDD505-2E9C-101B-9397-08002B2CF9AE}" pid="3" name="ContentTypeId">
    <vt:lpwstr>0x010100F6C9EF00BFCE744FB82DB39B849666BF08007C6FBD364AC9074A93F22848C695C93B</vt:lpwstr>
  </property>
  <property fmtid="{D5CDD505-2E9C-101B-9397-08002B2CF9AE}" pid="4" name="Directorate">
    <vt:lpwstr/>
  </property>
  <property fmtid="{D5CDD505-2E9C-101B-9397-08002B2CF9AE}" pid="5" name="_dlc_DocIdItemGuid">
    <vt:lpwstr>f2ef9e63-59a7-403a-8f6d-b8be469fb977</vt:lpwstr>
  </property>
</Properties>
</file>